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E76B0">
      <w:pPr>
        <w:snapToGrid w:val="0"/>
        <w:spacing w:line="360" w:lineRule="auto"/>
        <w:jc w:val="center"/>
        <w:rPr>
          <w:rFonts w:hint="eastAsia" w:ascii="仿宋" w:hAnsi="仿宋" w:eastAsia="仿宋" w:cs="仿宋"/>
          <w:b/>
          <w:bCs/>
          <w:color w:val="auto"/>
          <w:sz w:val="36"/>
          <w:szCs w:val="36"/>
          <w:highlight w:val="none"/>
        </w:rPr>
      </w:pPr>
    </w:p>
    <w:p w14:paraId="019383E0">
      <w:pPr>
        <w:jc w:val="center"/>
        <w:rPr>
          <w:rFonts w:hint="eastAsia" w:ascii="仿宋" w:hAnsi="仿宋" w:eastAsia="仿宋" w:cs="仿宋"/>
          <w:b/>
          <w:bCs/>
          <w:color w:val="auto"/>
          <w:sz w:val="44"/>
          <w:szCs w:val="44"/>
          <w:highlight w:val="none"/>
        </w:rPr>
      </w:pPr>
      <w:bookmarkStart w:id="0" w:name="OLE_LINK3"/>
      <w:r>
        <w:rPr>
          <w:rFonts w:hint="eastAsia" w:ascii="仿宋" w:hAnsi="仿宋" w:eastAsia="仿宋" w:cs="仿宋"/>
          <w:b/>
          <w:bCs/>
          <w:color w:val="auto"/>
          <w:sz w:val="44"/>
          <w:szCs w:val="44"/>
          <w:highlight w:val="none"/>
        </w:rPr>
        <w:t>萧彩街公共人行天桥项目</w:t>
      </w:r>
      <w:bookmarkEnd w:id="0"/>
      <w:r>
        <w:rPr>
          <w:rFonts w:hint="eastAsia" w:ascii="仿宋" w:hAnsi="仿宋" w:eastAsia="仿宋" w:cs="仿宋"/>
          <w:b/>
          <w:bCs/>
          <w:color w:val="auto"/>
          <w:sz w:val="44"/>
          <w:szCs w:val="44"/>
          <w:highlight w:val="none"/>
        </w:rPr>
        <w:t>施工监控及成桥</w:t>
      </w:r>
    </w:p>
    <w:p w14:paraId="57370120">
      <w:pPr>
        <w:jc w:val="center"/>
        <w:rPr>
          <w:rFonts w:hint="default" w:ascii="仿宋" w:hAnsi="仿宋" w:eastAsia="仿宋" w:cs="仿宋"/>
          <w:b/>
          <w:bCs/>
          <w:color w:val="auto"/>
          <w:sz w:val="44"/>
          <w:szCs w:val="44"/>
          <w:highlight w:val="none"/>
          <w:lang w:val="en-US" w:eastAsia="zh-CN"/>
        </w:rPr>
      </w:pPr>
      <w:r>
        <w:rPr>
          <w:rFonts w:hint="eastAsia" w:ascii="仿宋" w:hAnsi="仿宋" w:eastAsia="仿宋" w:cs="仿宋"/>
          <w:b/>
          <w:bCs/>
          <w:color w:val="auto"/>
          <w:sz w:val="44"/>
          <w:szCs w:val="44"/>
          <w:highlight w:val="none"/>
        </w:rPr>
        <w:t>荷载试验服务</w:t>
      </w:r>
      <w:r>
        <w:rPr>
          <w:rFonts w:hint="eastAsia" w:ascii="仿宋" w:hAnsi="仿宋" w:eastAsia="仿宋" w:cs="仿宋"/>
          <w:b/>
          <w:bCs/>
          <w:color w:val="auto"/>
          <w:sz w:val="44"/>
          <w:szCs w:val="44"/>
          <w:highlight w:val="none"/>
          <w:lang w:eastAsia="zh-CN"/>
        </w:rPr>
        <w:t>（</w:t>
      </w:r>
      <w:r>
        <w:rPr>
          <w:rFonts w:hint="eastAsia" w:ascii="仿宋" w:hAnsi="仿宋" w:eastAsia="仿宋" w:cs="仿宋"/>
          <w:b/>
          <w:bCs/>
          <w:color w:val="auto"/>
          <w:sz w:val="44"/>
          <w:szCs w:val="44"/>
          <w:highlight w:val="none"/>
          <w:lang w:val="en-US" w:eastAsia="zh-CN"/>
        </w:rPr>
        <w:t>1</w:t>
      </w:r>
      <w:r>
        <w:rPr>
          <w:rFonts w:hint="eastAsia" w:ascii="仿宋" w:hAnsi="仿宋" w:eastAsia="仿宋" w:cs="仿宋"/>
          <w:b/>
          <w:bCs/>
          <w:color w:val="auto"/>
          <w:sz w:val="44"/>
          <w:szCs w:val="44"/>
          <w:highlight w:val="none"/>
          <w:lang w:eastAsia="zh-CN"/>
        </w:rPr>
        <w:t>）</w:t>
      </w:r>
    </w:p>
    <w:p w14:paraId="555767CB">
      <w:pPr>
        <w:adjustRightInd/>
        <w:spacing w:line="360" w:lineRule="auto"/>
        <w:rPr>
          <w:rFonts w:ascii="仿宋" w:hAnsi="仿宋" w:eastAsia="仿宋" w:cs="仿宋"/>
          <w:b/>
          <w:bCs/>
          <w:color w:val="auto"/>
          <w:sz w:val="72"/>
          <w:szCs w:val="72"/>
          <w:highlight w:val="none"/>
        </w:rPr>
      </w:pPr>
    </w:p>
    <w:p w14:paraId="7E2EBAC7">
      <w:pPr>
        <w:adjustRightInd/>
        <w:spacing w:line="360" w:lineRule="auto"/>
        <w:jc w:val="center"/>
        <w:rPr>
          <w:rFonts w:ascii="仿宋" w:hAnsi="仿宋" w:eastAsia="仿宋" w:cs="仿宋"/>
          <w:b/>
          <w:color w:val="auto"/>
          <w:sz w:val="24"/>
          <w:highlight w:val="none"/>
        </w:rPr>
      </w:pPr>
      <w:r>
        <w:rPr>
          <w:rFonts w:hint="eastAsia" w:ascii="仿宋" w:hAnsi="仿宋" w:eastAsia="仿宋" w:cs="仿宋"/>
          <w:b/>
          <w:bCs/>
          <w:color w:val="auto"/>
          <w:sz w:val="72"/>
          <w:szCs w:val="72"/>
          <w:highlight w:val="none"/>
        </w:rPr>
        <w:t>交易文件</w:t>
      </w:r>
      <w:r>
        <w:rPr>
          <w:rFonts w:hint="eastAsia" w:ascii="仿宋" w:hAnsi="仿宋" w:eastAsia="仿宋" w:cs="仿宋"/>
          <w:b/>
          <w:color w:val="auto"/>
          <w:sz w:val="56"/>
          <w:szCs w:val="72"/>
          <w:highlight w:val="none"/>
        </w:rPr>
        <w:br w:type="textWrapping"/>
      </w:r>
    </w:p>
    <w:p w14:paraId="7C302EFA">
      <w:pPr>
        <w:snapToGrid w:val="0"/>
        <w:spacing w:line="360" w:lineRule="auto"/>
        <w:jc w:val="cente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rPr>
        <w:t>交易编号:ZJXSHT202</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-GK-0</w:t>
      </w:r>
      <w:r>
        <w:rPr>
          <w:rFonts w:hint="eastAsia" w:ascii="仿宋" w:hAnsi="仿宋" w:eastAsia="仿宋" w:cs="仿宋"/>
          <w:color w:val="auto"/>
          <w:sz w:val="30"/>
          <w:szCs w:val="30"/>
          <w:highlight w:val="none"/>
          <w:lang w:val="en-US" w:eastAsia="zh-CN"/>
        </w:rPr>
        <w:t>20（1）</w:t>
      </w:r>
    </w:p>
    <w:p w14:paraId="592DD4C8">
      <w:pPr>
        <w:pStyle w:val="2"/>
        <w:jc w:val="both"/>
        <w:rPr>
          <w:rFonts w:cs="仿宋"/>
          <w:color w:val="auto"/>
          <w:sz w:val="32"/>
          <w:szCs w:val="32"/>
          <w:highlight w:val="none"/>
        </w:rPr>
      </w:pPr>
    </w:p>
    <w:p w14:paraId="17E115C6">
      <w:pPr>
        <w:rPr>
          <w:rFonts w:ascii="仿宋" w:hAnsi="仿宋" w:eastAsia="仿宋" w:cs="仿宋"/>
          <w:color w:val="auto"/>
          <w:sz w:val="32"/>
          <w:szCs w:val="32"/>
          <w:highlight w:val="none"/>
        </w:rPr>
      </w:pPr>
    </w:p>
    <w:p w14:paraId="4F671CA1">
      <w:pPr>
        <w:pStyle w:val="60"/>
        <w:ind w:firstLine="640"/>
        <w:rPr>
          <w:rFonts w:ascii="仿宋" w:hAnsi="仿宋" w:eastAsia="仿宋" w:cs="仿宋"/>
          <w:color w:val="auto"/>
          <w:sz w:val="32"/>
          <w:szCs w:val="32"/>
          <w:highlight w:val="none"/>
        </w:rPr>
      </w:pPr>
    </w:p>
    <w:p w14:paraId="35E4661A">
      <w:pPr>
        <w:pStyle w:val="60"/>
        <w:ind w:firstLine="640"/>
        <w:rPr>
          <w:rFonts w:ascii="仿宋" w:hAnsi="仿宋" w:eastAsia="仿宋" w:cs="仿宋"/>
          <w:color w:val="auto"/>
          <w:sz w:val="32"/>
          <w:szCs w:val="32"/>
          <w:highlight w:val="none"/>
        </w:rPr>
      </w:pPr>
    </w:p>
    <w:p w14:paraId="44E19593">
      <w:pPr>
        <w:pStyle w:val="60"/>
        <w:ind w:firstLine="640"/>
        <w:rPr>
          <w:rFonts w:ascii="仿宋" w:hAnsi="仿宋" w:eastAsia="仿宋" w:cs="仿宋"/>
          <w:color w:val="auto"/>
          <w:sz w:val="32"/>
          <w:szCs w:val="32"/>
          <w:highlight w:val="none"/>
        </w:rPr>
      </w:pPr>
    </w:p>
    <w:p w14:paraId="43093815">
      <w:pPr>
        <w:pStyle w:val="60"/>
        <w:ind w:firstLine="640"/>
        <w:rPr>
          <w:rFonts w:ascii="仿宋" w:hAnsi="仿宋" w:eastAsia="仿宋" w:cs="仿宋"/>
          <w:color w:val="auto"/>
          <w:sz w:val="32"/>
          <w:szCs w:val="32"/>
          <w:highlight w:val="none"/>
        </w:rPr>
      </w:pPr>
    </w:p>
    <w:p w14:paraId="19C28645">
      <w:pPr>
        <w:pStyle w:val="60"/>
        <w:ind w:left="0" w:leftChars="0" w:firstLine="0" w:firstLineChars="0"/>
        <w:rPr>
          <w:rFonts w:ascii="仿宋" w:hAnsi="仿宋" w:eastAsia="仿宋" w:cs="仿宋"/>
          <w:color w:val="auto"/>
          <w:sz w:val="32"/>
          <w:szCs w:val="32"/>
          <w:highlight w:val="none"/>
        </w:rPr>
      </w:pPr>
    </w:p>
    <w:p w14:paraId="0785E8D0">
      <w:pPr>
        <w:pStyle w:val="60"/>
        <w:ind w:firstLine="640"/>
        <w:rPr>
          <w:rFonts w:ascii="仿宋" w:hAnsi="仿宋" w:eastAsia="仿宋" w:cs="仿宋"/>
          <w:color w:val="auto"/>
          <w:sz w:val="32"/>
          <w:szCs w:val="32"/>
          <w:highlight w:val="none"/>
        </w:rPr>
      </w:pPr>
    </w:p>
    <w:p w14:paraId="4C9ADB79">
      <w:pPr>
        <w:spacing w:line="360" w:lineRule="auto"/>
        <w:ind w:firstLine="723" w:firstLineChars="200"/>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杭州萧山城市基础设施建设有限公司</w:t>
      </w:r>
    </w:p>
    <w:p w14:paraId="7195549C">
      <w:pPr>
        <w:spacing w:line="360" w:lineRule="auto"/>
        <w:ind w:firstLine="723" w:firstLineChars="200"/>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浙江翔实建设项目管理有限公司</w:t>
      </w:r>
    </w:p>
    <w:p w14:paraId="5F9DFA78">
      <w:pPr>
        <w:snapToGrid w:val="0"/>
        <w:spacing w:line="360" w:lineRule="auto"/>
        <w:jc w:val="center"/>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  202</w:t>
      </w:r>
      <w:r>
        <w:rPr>
          <w:rFonts w:hint="eastAsia" w:ascii="仿宋" w:hAnsi="仿宋" w:eastAsia="仿宋" w:cs="仿宋"/>
          <w:bCs/>
          <w:color w:val="auto"/>
          <w:sz w:val="36"/>
          <w:szCs w:val="36"/>
          <w:highlight w:val="none"/>
          <w:lang w:val="en-US" w:eastAsia="zh-CN"/>
        </w:rPr>
        <w:t>6</w:t>
      </w:r>
      <w:r>
        <w:rPr>
          <w:rFonts w:hint="eastAsia" w:ascii="仿宋" w:hAnsi="仿宋" w:eastAsia="仿宋" w:cs="仿宋"/>
          <w:bCs/>
          <w:color w:val="auto"/>
          <w:sz w:val="36"/>
          <w:szCs w:val="36"/>
          <w:highlight w:val="none"/>
        </w:rPr>
        <w:t>年</w:t>
      </w:r>
      <w:r>
        <w:rPr>
          <w:rFonts w:hint="eastAsia" w:ascii="仿宋" w:hAnsi="仿宋" w:eastAsia="仿宋" w:cs="仿宋"/>
          <w:bCs/>
          <w:color w:val="auto"/>
          <w:sz w:val="36"/>
          <w:szCs w:val="36"/>
          <w:highlight w:val="none"/>
          <w:lang w:val="en-US" w:eastAsia="zh-CN"/>
        </w:rPr>
        <w:t>7</w:t>
      </w:r>
      <w:r>
        <w:rPr>
          <w:rFonts w:hint="eastAsia" w:ascii="仿宋" w:hAnsi="仿宋" w:eastAsia="仿宋" w:cs="仿宋"/>
          <w:bCs/>
          <w:color w:val="auto"/>
          <w:sz w:val="36"/>
          <w:szCs w:val="36"/>
          <w:highlight w:val="none"/>
        </w:rPr>
        <w:t>月</w:t>
      </w:r>
      <w:r>
        <w:rPr>
          <w:rFonts w:hint="eastAsia" w:ascii="仿宋" w:hAnsi="仿宋" w:eastAsia="仿宋" w:cs="仿宋"/>
          <w:bCs/>
          <w:color w:val="auto"/>
          <w:sz w:val="36"/>
          <w:szCs w:val="36"/>
          <w:highlight w:val="none"/>
          <w:lang w:val="en-US" w:eastAsia="zh-CN"/>
        </w:rPr>
        <w:t>13</w:t>
      </w:r>
      <w:r>
        <w:rPr>
          <w:rFonts w:hint="eastAsia" w:ascii="仿宋" w:hAnsi="仿宋" w:eastAsia="仿宋" w:cs="仿宋"/>
          <w:bCs/>
          <w:color w:val="auto"/>
          <w:sz w:val="36"/>
          <w:szCs w:val="36"/>
          <w:highlight w:val="none"/>
        </w:rPr>
        <w:t>日</w:t>
      </w:r>
    </w:p>
    <w:p w14:paraId="29B50EB5">
      <w:pPr>
        <w:spacing w:line="360" w:lineRule="auto"/>
        <w:jc w:val="center"/>
        <w:rPr>
          <w:rFonts w:ascii="仿宋" w:hAnsi="仿宋" w:eastAsia="仿宋" w:cs="仿宋"/>
          <w:bCs/>
          <w:color w:val="auto"/>
          <w:sz w:val="32"/>
          <w:szCs w:val="32"/>
          <w:highlight w:val="none"/>
        </w:rPr>
      </w:pPr>
    </w:p>
    <w:p w14:paraId="0C2759BC">
      <w:pPr>
        <w:pStyle w:val="72"/>
        <w:spacing w:before="120"/>
        <w:ind w:firstLine="640"/>
        <w:rPr>
          <w:rFonts w:ascii="仿宋" w:hAnsi="仿宋" w:eastAsia="仿宋" w:cs="仿宋"/>
          <w:bCs/>
          <w:color w:val="auto"/>
          <w:sz w:val="32"/>
          <w:szCs w:val="32"/>
          <w:highlight w:val="none"/>
        </w:rPr>
      </w:pPr>
    </w:p>
    <w:p w14:paraId="74E94041">
      <w:pPr>
        <w:pStyle w:val="72"/>
        <w:spacing w:before="120"/>
        <w:ind w:firstLine="640"/>
        <w:rPr>
          <w:rFonts w:ascii="仿宋" w:hAnsi="仿宋" w:eastAsia="仿宋" w:cs="仿宋"/>
          <w:bCs/>
          <w:color w:val="auto"/>
          <w:sz w:val="32"/>
          <w:szCs w:val="32"/>
          <w:highlight w:val="none"/>
        </w:rPr>
      </w:pPr>
    </w:p>
    <w:p w14:paraId="61F91B5B">
      <w:pPr>
        <w:spacing w:line="360" w:lineRule="auto"/>
        <w:jc w:val="center"/>
        <w:rPr>
          <w:rFonts w:hint="eastAsia" w:ascii="仿宋" w:hAnsi="仿宋" w:eastAsia="仿宋" w:cs="仿宋"/>
          <w:b/>
          <w:color w:val="auto"/>
          <w:sz w:val="48"/>
          <w:szCs w:val="48"/>
          <w:highlight w:val="none"/>
        </w:rPr>
      </w:pPr>
      <w:bookmarkStart w:id="1" w:name="_Hlt67893495"/>
      <w:bookmarkEnd w:id="1"/>
    </w:p>
    <w:p w14:paraId="7E365BD4">
      <w:pPr>
        <w:spacing w:line="360" w:lineRule="auto"/>
        <w:jc w:val="center"/>
        <w:rPr>
          <w:rFonts w:ascii="仿宋" w:hAnsi="仿宋" w:eastAsia="仿宋" w:cs="仿宋"/>
          <w:color w:val="auto"/>
          <w:sz w:val="32"/>
          <w:szCs w:val="32"/>
          <w:highlight w:val="none"/>
        </w:rPr>
      </w:pPr>
      <w:r>
        <w:rPr>
          <w:rFonts w:hint="eastAsia" w:ascii="仿宋" w:hAnsi="仿宋" w:eastAsia="仿宋" w:cs="仿宋"/>
          <w:b/>
          <w:color w:val="auto"/>
          <w:sz w:val="48"/>
          <w:szCs w:val="48"/>
          <w:highlight w:val="none"/>
        </w:rPr>
        <w:t>目  录</w:t>
      </w:r>
    </w:p>
    <w:p w14:paraId="3B70B801">
      <w:pPr>
        <w:spacing w:line="360" w:lineRule="auto"/>
        <w:rPr>
          <w:rFonts w:ascii="仿宋" w:hAnsi="仿宋" w:eastAsia="仿宋" w:cs="仿宋"/>
          <w:color w:val="auto"/>
          <w:sz w:val="32"/>
          <w:szCs w:val="32"/>
          <w:highlight w:val="none"/>
        </w:rPr>
      </w:pPr>
    </w:p>
    <w:p w14:paraId="048E8000">
      <w:pPr>
        <w:spacing w:line="360" w:lineRule="auto"/>
        <w:ind w:firstLine="1280" w:firstLineChars="4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交易公告</w:t>
      </w:r>
    </w:p>
    <w:p w14:paraId="5C1C5672">
      <w:pPr>
        <w:spacing w:line="360" w:lineRule="auto"/>
        <w:ind w:firstLine="1280" w:firstLineChars="4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响应人须知</w:t>
      </w:r>
    </w:p>
    <w:p w14:paraId="5F9B8DC2">
      <w:pPr>
        <w:spacing w:line="360" w:lineRule="auto"/>
        <w:ind w:firstLine="1280" w:firstLineChars="4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交易需求</w:t>
      </w:r>
    </w:p>
    <w:p w14:paraId="1EF08615">
      <w:pPr>
        <w:spacing w:line="360" w:lineRule="auto"/>
        <w:ind w:firstLine="1280" w:firstLineChars="4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第四部分      评标方法及评分标准</w:t>
      </w:r>
    </w:p>
    <w:p w14:paraId="3DBBD528">
      <w:pPr>
        <w:spacing w:line="360" w:lineRule="auto"/>
        <w:ind w:firstLine="1280" w:firstLineChars="4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第五部分      拟签订的合同文本</w:t>
      </w:r>
    </w:p>
    <w:p w14:paraId="5FA81925">
      <w:pPr>
        <w:spacing w:line="360" w:lineRule="auto"/>
        <w:ind w:firstLine="1280" w:firstLineChars="4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第六部分      应提交的有关格式范例</w:t>
      </w:r>
    </w:p>
    <w:p w14:paraId="4D72F35B">
      <w:pPr>
        <w:spacing w:line="360" w:lineRule="auto"/>
        <w:ind w:firstLine="549" w:firstLineChars="229"/>
        <w:rPr>
          <w:rFonts w:ascii="仿宋" w:hAnsi="仿宋" w:eastAsia="仿宋" w:cs="仿宋"/>
          <w:color w:val="auto"/>
          <w:sz w:val="24"/>
          <w:highlight w:val="none"/>
        </w:rPr>
      </w:pPr>
      <w:bookmarkStart w:id="2" w:name="_Hlt91233176"/>
      <w:bookmarkEnd w:id="2"/>
      <w:bookmarkStart w:id="3" w:name="_Toc91899869"/>
    </w:p>
    <w:p w14:paraId="2CECA455">
      <w:pPr>
        <w:spacing w:line="360" w:lineRule="auto"/>
        <w:ind w:firstLine="549" w:firstLineChars="229"/>
        <w:rPr>
          <w:rFonts w:ascii="仿宋" w:hAnsi="仿宋" w:eastAsia="仿宋" w:cs="仿宋"/>
          <w:color w:val="auto"/>
          <w:sz w:val="24"/>
          <w:highlight w:val="none"/>
        </w:rPr>
      </w:pPr>
    </w:p>
    <w:p w14:paraId="081A4E5A">
      <w:pPr>
        <w:spacing w:line="360" w:lineRule="auto"/>
        <w:ind w:firstLine="549" w:firstLineChars="229"/>
        <w:rPr>
          <w:rFonts w:ascii="仿宋" w:hAnsi="仿宋" w:eastAsia="仿宋" w:cs="仿宋"/>
          <w:color w:val="auto"/>
          <w:sz w:val="24"/>
          <w:highlight w:val="none"/>
        </w:rPr>
      </w:pPr>
    </w:p>
    <w:p w14:paraId="44E248AE">
      <w:pPr>
        <w:spacing w:line="360" w:lineRule="auto"/>
        <w:ind w:firstLine="549" w:firstLineChars="229"/>
        <w:rPr>
          <w:rFonts w:ascii="仿宋" w:hAnsi="仿宋" w:eastAsia="仿宋" w:cs="仿宋"/>
          <w:color w:val="auto"/>
          <w:sz w:val="24"/>
          <w:highlight w:val="none"/>
        </w:rPr>
      </w:pPr>
    </w:p>
    <w:p w14:paraId="4D9C13C1">
      <w:pPr>
        <w:spacing w:line="360" w:lineRule="auto"/>
        <w:ind w:firstLine="549" w:firstLineChars="229"/>
        <w:rPr>
          <w:rFonts w:ascii="仿宋" w:hAnsi="仿宋" w:eastAsia="仿宋" w:cs="仿宋"/>
          <w:color w:val="auto"/>
          <w:sz w:val="24"/>
          <w:highlight w:val="none"/>
        </w:rPr>
      </w:pPr>
    </w:p>
    <w:p w14:paraId="5C571933">
      <w:pPr>
        <w:spacing w:line="360" w:lineRule="auto"/>
        <w:ind w:firstLine="549" w:firstLineChars="229"/>
        <w:rPr>
          <w:rFonts w:ascii="仿宋" w:hAnsi="仿宋" w:eastAsia="仿宋" w:cs="仿宋"/>
          <w:color w:val="auto"/>
          <w:sz w:val="24"/>
          <w:highlight w:val="none"/>
        </w:rPr>
      </w:pPr>
    </w:p>
    <w:p w14:paraId="3EE775FC">
      <w:pPr>
        <w:spacing w:line="360" w:lineRule="auto"/>
        <w:ind w:firstLine="549" w:firstLineChars="229"/>
        <w:rPr>
          <w:rFonts w:ascii="仿宋" w:hAnsi="仿宋" w:eastAsia="仿宋" w:cs="仿宋"/>
          <w:color w:val="auto"/>
          <w:sz w:val="24"/>
          <w:highlight w:val="none"/>
        </w:rPr>
      </w:pPr>
    </w:p>
    <w:p w14:paraId="30CF0D8C">
      <w:pPr>
        <w:spacing w:line="360" w:lineRule="auto"/>
        <w:ind w:firstLine="549" w:firstLineChars="229"/>
        <w:rPr>
          <w:rFonts w:ascii="仿宋" w:hAnsi="仿宋" w:eastAsia="仿宋" w:cs="仿宋"/>
          <w:color w:val="auto"/>
          <w:sz w:val="24"/>
          <w:highlight w:val="none"/>
        </w:rPr>
      </w:pPr>
    </w:p>
    <w:p w14:paraId="339B3869">
      <w:pPr>
        <w:spacing w:line="360" w:lineRule="auto"/>
        <w:ind w:firstLine="549" w:firstLineChars="229"/>
        <w:rPr>
          <w:rFonts w:ascii="仿宋" w:hAnsi="仿宋" w:eastAsia="仿宋" w:cs="仿宋"/>
          <w:color w:val="auto"/>
          <w:sz w:val="24"/>
          <w:highlight w:val="none"/>
        </w:rPr>
      </w:pPr>
    </w:p>
    <w:p w14:paraId="1AA8E7E7">
      <w:pPr>
        <w:pStyle w:val="2"/>
        <w:rPr>
          <w:rFonts w:cs="仿宋"/>
          <w:color w:val="auto"/>
          <w:highlight w:val="none"/>
        </w:rPr>
      </w:pPr>
      <w:bookmarkStart w:id="4" w:name="第一部分"/>
      <w:r>
        <w:rPr>
          <w:rFonts w:hint="eastAsia" w:cs="仿宋"/>
          <w:color w:val="auto"/>
          <w:highlight w:val="none"/>
        </w:rPr>
        <w:br w:type="page"/>
      </w:r>
      <w:bookmarkEnd w:id="3"/>
      <w:bookmarkEnd w:id="4"/>
      <w:bookmarkStart w:id="5" w:name="_Hlt74729822"/>
      <w:bookmarkEnd w:id="5"/>
      <w:bookmarkStart w:id="6" w:name="_Hlt74649545"/>
      <w:bookmarkEnd w:id="6"/>
      <w:bookmarkStart w:id="7" w:name="_Hlt74728647"/>
      <w:bookmarkEnd w:id="7"/>
      <w:bookmarkStart w:id="8" w:name="_Hlt74707423"/>
      <w:bookmarkEnd w:id="8"/>
      <w:bookmarkStart w:id="9" w:name="第二部分"/>
      <w:bookmarkStart w:id="10" w:name="_Toc91899870"/>
      <w:bookmarkStart w:id="11" w:name="_Toc91899871"/>
      <w:r>
        <w:rPr>
          <w:rFonts w:hint="eastAsia" w:cs="仿宋"/>
          <w:color w:val="auto"/>
          <w:highlight w:val="none"/>
        </w:rPr>
        <w:t>第一部分 交易公告</w:t>
      </w:r>
    </w:p>
    <w:p w14:paraId="4C0C1176">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项目概况：萧彩街公共人行天桥项目施工监控及成桥荷载试验服务</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lang w:val="en-US" w:eastAsia="zh-CN"/>
        </w:rPr>
        <w:t>1</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highlight w:val="none"/>
        </w:rPr>
        <w:t>的潜在响应人应在乐采云（萧采云）（</w:t>
      </w:r>
      <w:r>
        <w:rPr>
          <w:color w:val="auto"/>
          <w:highlight w:val="none"/>
        </w:rPr>
        <w:fldChar w:fldCharType="begin"/>
      </w:r>
      <w:r>
        <w:rPr>
          <w:color w:val="auto"/>
          <w:highlight w:val="none"/>
        </w:rPr>
        <w:instrText xml:space="preserve"> HYPERLINK "https://www.zcygov.cn/）获取（下载）招标文件，并于2021年" </w:instrText>
      </w:r>
      <w:r>
        <w:rPr>
          <w:color w:val="auto"/>
          <w:highlight w:val="none"/>
        </w:rPr>
        <w:fldChar w:fldCharType="separate"/>
      </w:r>
      <w:r>
        <w:rPr>
          <w:rFonts w:hint="eastAsia" w:ascii="仿宋" w:hAnsi="仿宋" w:eastAsia="仿宋" w:cs="仿宋"/>
          <w:color w:val="auto"/>
          <w:sz w:val="24"/>
          <w:highlight w:val="none"/>
        </w:rPr>
        <w:t>https://www.</w:t>
      </w:r>
      <w:r>
        <w:rPr>
          <w:rFonts w:hint="eastAsia" w:ascii="仿宋" w:hAnsi="仿宋" w:eastAsia="仿宋" w:cs="仿宋"/>
          <w:color w:val="auto"/>
          <w:sz w:val="24"/>
          <w:highlight w:val="none"/>
          <w:lang w:val="en-US" w:eastAsia="zh-CN"/>
        </w:rPr>
        <w:t>lecaiyun.com</w:t>
      </w:r>
      <w:r>
        <w:rPr>
          <w:rFonts w:hint="eastAsia" w:ascii="仿宋" w:hAnsi="仿宋" w:eastAsia="仿宋" w:cs="仿宋"/>
          <w:color w:val="auto"/>
          <w:sz w:val="24"/>
          <w:highlight w:val="none"/>
        </w:rPr>
        <w:t>）</w:t>
      </w:r>
      <w:r>
        <w:rPr>
          <w:rStyle w:val="69"/>
          <w:rFonts w:hint="eastAsia" w:ascii="仿宋" w:hAnsi="仿宋" w:eastAsia="仿宋" w:cs="仿宋"/>
          <w:color w:val="auto"/>
          <w:sz w:val="24"/>
          <w:szCs w:val="24"/>
          <w:highlight w:val="none"/>
        </w:rPr>
        <w:t>获取（下载）交易文件，并于</w:t>
      </w:r>
      <w:r>
        <w:rPr>
          <w:rStyle w:val="69"/>
          <w:rFonts w:hint="eastAsia" w:ascii="仿宋" w:hAnsi="仿宋" w:eastAsia="仿宋" w:cs="仿宋"/>
          <w:color w:val="auto"/>
          <w:sz w:val="24"/>
          <w:szCs w:val="24"/>
          <w:highlight w:val="none"/>
          <w:u w:val="single"/>
        </w:rPr>
        <w:t>202</w:t>
      </w:r>
      <w:r>
        <w:rPr>
          <w:rStyle w:val="69"/>
          <w:rFonts w:hint="eastAsia" w:ascii="仿宋" w:hAnsi="仿宋" w:eastAsia="仿宋" w:cs="仿宋"/>
          <w:color w:val="auto"/>
          <w:sz w:val="24"/>
          <w:szCs w:val="24"/>
          <w:highlight w:val="none"/>
          <w:u w:val="single"/>
          <w:lang w:val="en-US" w:eastAsia="zh-CN"/>
        </w:rPr>
        <w:t>6</w:t>
      </w:r>
      <w:r>
        <w:rPr>
          <w:rStyle w:val="69"/>
          <w:rFonts w:hint="eastAsia" w:ascii="仿宋" w:hAnsi="仿宋" w:eastAsia="仿宋" w:cs="仿宋"/>
          <w:color w:val="auto"/>
          <w:sz w:val="24"/>
          <w:szCs w:val="24"/>
          <w:highlight w:val="none"/>
          <w:u w:val="single"/>
        </w:rPr>
        <w:t>年</w:t>
      </w:r>
      <w:r>
        <w:rPr>
          <w:rStyle w:val="69"/>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highlight w:val="none"/>
          <w:u w:val="single"/>
          <w:lang w:val="en-US" w:eastAsia="zh-CN"/>
        </w:rPr>
        <w:t>7</w:t>
      </w:r>
      <w:r>
        <w:rPr>
          <w:rFonts w:hint="eastAsia" w:ascii="仿宋" w:hAnsi="仿宋" w:eastAsia="仿宋" w:cs="仿宋"/>
          <w:color w:val="auto"/>
          <w:sz w:val="24"/>
          <w:highlight w:val="none"/>
          <w:u w:val="single"/>
        </w:rPr>
        <w:t>月</w:t>
      </w:r>
      <w:r>
        <w:rPr>
          <w:rFonts w:hint="eastAsia" w:ascii="仿宋" w:hAnsi="仿宋" w:eastAsia="仿宋" w:cs="仿宋"/>
          <w:color w:val="auto"/>
          <w:sz w:val="24"/>
          <w:highlight w:val="none"/>
          <w:u w:val="single"/>
          <w:lang w:val="en-US" w:eastAsia="zh-CN"/>
        </w:rPr>
        <w:t>21</w:t>
      </w:r>
      <w:r>
        <w:rPr>
          <w:rFonts w:hint="eastAsia" w:ascii="仿宋" w:hAnsi="仿宋" w:eastAsia="仿宋" w:cs="仿宋"/>
          <w:color w:val="auto"/>
          <w:sz w:val="24"/>
          <w:highlight w:val="none"/>
          <w:u w:val="single"/>
        </w:rPr>
        <w:t>日</w:t>
      </w:r>
      <w:r>
        <w:rPr>
          <w:rFonts w:hint="eastAsia" w:ascii="仿宋" w:hAnsi="仿宋" w:eastAsia="仿宋" w:cs="仿宋"/>
          <w:color w:val="auto"/>
          <w:sz w:val="24"/>
          <w:highlight w:val="none"/>
          <w:u w:val="single"/>
          <w:lang w:val="en-US" w:eastAsia="zh-CN"/>
        </w:rPr>
        <w:t>14</w:t>
      </w:r>
      <w:r>
        <w:rPr>
          <w:rFonts w:hint="eastAsia" w:ascii="仿宋" w:hAnsi="仿宋" w:eastAsia="仿宋" w:cs="仿宋"/>
          <w:bCs/>
          <w:color w:val="auto"/>
          <w:sz w:val="24"/>
          <w:highlight w:val="none"/>
          <w:u w:val="single"/>
        </w:rPr>
        <w:t>点</w:t>
      </w:r>
      <w:r>
        <w:rPr>
          <w:rFonts w:hint="eastAsia" w:ascii="仿宋" w:hAnsi="仿宋" w:eastAsia="仿宋" w:cs="仿宋"/>
          <w:bCs/>
          <w:color w:val="auto"/>
          <w:sz w:val="24"/>
          <w:highlight w:val="none"/>
          <w:u w:val="single"/>
          <w:lang w:val="en-US" w:eastAsia="zh-CN"/>
        </w:rPr>
        <w:t>00</w:t>
      </w:r>
      <w:r>
        <w:rPr>
          <w:rFonts w:hint="eastAsia" w:ascii="仿宋" w:hAnsi="仿宋" w:eastAsia="仿宋" w:cs="仿宋"/>
          <w:bCs/>
          <w:color w:val="auto"/>
          <w:sz w:val="24"/>
          <w:highlight w:val="none"/>
          <w:u w:val="single"/>
        </w:rPr>
        <w:t>分00秒</w:t>
      </w:r>
      <w:r>
        <w:rPr>
          <w:rFonts w:hint="eastAsia" w:ascii="仿宋" w:hAnsi="仿宋" w:eastAsia="仿宋" w:cs="仿宋"/>
          <w:bCs/>
          <w:color w:val="auto"/>
          <w:sz w:val="24"/>
          <w:highlight w:val="none"/>
        </w:rPr>
        <w:t>（北京时间）前</w:t>
      </w:r>
      <w:r>
        <w:rPr>
          <w:rFonts w:hint="eastAsia" w:ascii="仿宋" w:hAnsi="仿宋" w:eastAsia="仿宋" w:cs="仿宋"/>
          <w:color w:val="auto"/>
          <w:sz w:val="24"/>
          <w:highlight w:val="none"/>
        </w:rPr>
        <w:t>递交（上传）响应文件</w:t>
      </w:r>
    </w:p>
    <w:p w14:paraId="01722E30">
      <w:pPr>
        <w:pStyle w:val="3"/>
        <w:numPr>
          <w:ilvl w:val="0"/>
          <w:numId w:val="0"/>
        </w:numPr>
        <w:rPr>
          <w:rFonts w:ascii="仿宋" w:eastAsia="仿宋" w:cs="仿宋"/>
          <w:color w:val="auto"/>
          <w:sz w:val="24"/>
          <w:szCs w:val="28"/>
          <w:highlight w:val="none"/>
        </w:rPr>
      </w:pPr>
      <w:bookmarkStart w:id="12" w:name="_Toc35393621"/>
      <w:bookmarkStart w:id="13" w:name="_Toc35393790"/>
      <w:bookmarkStart w:id="14" w:name="_Toc28359079"/>
      <w:bookmarkStart w:id="15" w:name="_Toc28359002"/>
      <w:bookmarkStart w:id="16" w:name="_Hlk24379207"/>
      <w:r>
        <w:rPr>
          <w:rFonts w:hint="eastAsia" w:ascii="仿宋" w:eastAsia="仿宋" w:cs="仿宋"/>
          <w:color w:val="auto"/>
          <w:sz w:val="24"/>
          <w:szCs w:val="28"/>
          <w:highlight w:val="none"/>
        </w:rPr>
        <w:t>一、项目基本情况</w:t>
      </w:r>
      <w:bookmarkEnd w:id="12"/>
      <w:bookmarkEnd w:id="13"/>
      <w:bookmarkEnd w:id="14"/>
      <w:bookmarkEnd w:id="15"/>
    </w:p>
    <w:p w14:paraId="29AD3682">
      <w:pPr>
        <w:spacing w:line="360" w:lineRule="auto"/>
        <w:ind w:left="420" w:left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8"/>
          <w:highlight w:val="none"/>
        </w:rPr>
        <w:t>项目编号：</w:t>
      </w:r>
      <w:r>
        <w:rPr>
          <w:rFonts w:hint="eastAsia" w:ascii="仿宋" w:hAnsi="仿宋" w:eastAsia="仿宋" w:cs="仿宋"/>
          <w:color w:val="auto"/>
          <w:sz w:val="24"/>
          <w:highlight w:val="none"/>
        </w:rPr>
        <w:t>ZJXSHT202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-GK-0</w:t>
      </w:r>
      <w:r>
        <w:rPr>
          <w:rFonts w:hint="eastAsia" w:ascii="仿宋" w:hAnsi="仿宋" w:eastAsia="仿宋" w:cs="仿宋"/>
          <w:color w:val="auto"/>
          <w:sz w:val="24"/>
          <w:highlight w:val="none"/>
          <w:lang w:val="en-US" w:eastAsia="zh-CN"/>
        </w:rPr>
        <w:t>20（1）</w:t>
      </w:r>
    </w:p>
    <w:p w14:paraId="5BB2379D">
      <w:pPr>
        <w:spacing w:line="360" w:lineRule="auto"/>
        <w:ind w:left="420" w:leftChars="200"/>
        <w:jc w:val="lef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szCs w:val="28"/>
          <w:highlight w:val="none"/>
        </w:rPr>
        <w:t>项目名称：</w:t>
      </w:r>
      <w:bookmarkEnd w:id="16"/>
      <w:r>
        <w:rPr>
          <w:rFonts w:hint="eastAsia" w:ascii="仿宋" w:hAnsi="仿宋" w:eastAsia="仿宋" w:cs="仿宋"/>
          <w:color w:val="auto"/>
          <w:sz w:val="24"/>
          <w:highlight w:val="none"/>
          <w:u w:val="none"/>
        </w:rPr>
        <w:t>萧彩街公共人行天桥项目施工监控及成桥荷载试验服务</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1</w:t>
      </w:r>
      <w:r>
        <w:rPr>
          <w:rFonts w:hint="eastAsia" w:ascii="仿宋" w:hAnsi="仿宋" w:eastAsia="仿宋" w:cs="仿宋"/>
          <w:color w:val="auto"/>
          <w:sz w:val="24"/>
          <w:highlight w:val="none"/>
          <w:u w:val="none"/>
          <w:lang w:eastAsia="zh-CN"/>
        </w:rPr>
        <w:t>）</w:t>
      </w:r>
    </w:p>
    <w:p w14:paraId="36CF2766">
      <w:pPr>
        <w:spacing w:line="360" w:lineRule="auto"/>
        <w:ind w:left="420" w:leftChars="200"/>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预算金额：</w:t>
      </w:r>
      <w:r>
        <w:rPr>
          <w:rFonts w:hint="eastAsia" w:ascii="仿宋" w:hAnsi="仿宋" w:eastAsia="仿宋" w:cs="仿宋"/>
          <w:color w:val="auto"/>
          <w:sz w:val="24"/>
          <w:szCs w:val="28"/>
          <w:highlight w:val="none"/>
          <w:lang w:eastAsia="zh-CN"/>
        </w:rPr>
        <w:t>500000</w:t>
      </w:r>
      <w:r>
        <w:rPr>
          <w:rFonts w:hint="eastAsia" w:ascii="仿宋" w:hAnsi="仿宋" w:eastAsia="仿宋" w:cs="仿宋"/>
          <w:color w:val="auto"/>
          <w:sz w:val="24"/>
          <w:szCs w:val="28"/>
          <w:highlight w:val="none"/>
        </w:rPr>
        <w:t>元</w:t>
      </w:r>
    </w:p>
    <w:p w14:paraId="32B5D9F1">
      <w:pPr>
        <w:spacing w:line="360" w:lineRule="auto"/>
        <w:ind w:left="420" w:leftChars="200"/>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最高限价：</w:t>
      </w:r>
      <w:r>
        <w:rPr>
          <w:rFonts w:hint="eastAsia" w:ascii="仿宋" w:hAnsi="仿宋" w:eastAsia="仿宋" w:cs="仿宋"/>
          <w:color w:val="auto"/>
          <w:sz w:val="24"/>
          <w:szCs w:val="28"/>
          <w:highlight w:val="none"/>
          <w:lang w:eastAsia="zh-CN"/>
        </w:rPr>
        <w:t>500000</w:t>
      </w:r>
      <w:r>
        <w:rPr>
          <w:rFonts w:hint="eastAsia" w:ascii="仿宋" w:hAnsi="仿宋" w:eastAsia="仿宋" w:cs="仿宋"/>
          <w:color w:val="auto"/>
          <w:sz w:val="24"/>
          <w:szCs w:val="28"/>
          <w:highlight w:val="none"/>
        </w:rPr>
        <w:t>元</w:t>
      </w:r>
    </w:p>
    <w:p w14:paraId="7CA8A72F">
      <w:pPr>
        <w:spacing w:line="360" w:lineRule="auto"/>
        <w:ind w:left="420" w:leftChars="200"/>
        <w:jc w:val="left"/>
        <w:rPr>
          <w:rFonts w:ascii="仿宋" w:hAnsi="仿宋" w:eastAsia="仿宋" w:cs="仿宋"/>
          <w:color w:val="auto"/>
          <w:sz w:val="24"/>
          <w:szCs w:val="28"/>
          <w:highlight w:val="none"/>
          <w:u w:val="single"/>
        </w:rPr>
      </w:pPr>
      <w:r>
        <w:rPr>
          <w:rFonts w:hint="eastAsia" w:ascii="仿宋" w:hAnsi="仿宋" w:eastAsia="仿宋" w:cs="仿宋"/>
          <w:color w:val="auto"/>
          <w:sz w:val="24"/>
          <w:szCs w:val="28"/>
          <w:highlight w:val="none"/>
        </w:rPr>
        <w:t>交易需求：详见交易文件</w:t>
      </w:r>
    </w:p>
    <w:p w14:paraId="69CFC7BD">
      <w:pPr>
        <w:spacing w:line="360" w:lineRule="auto"/>
        <w:ind w:firstLine="480"/>
        <w:rPr>
          <w:rFonts w:ascii="仿宋" w:hAnsi="仿宋" w:eastAsia="仿宋" w:cs="仿宋"/>
          <w:bCs/>
          <w:color w:val="auto"/>
          <w:sz w:val="24"/>
          <w:highlight w:val="none"/>
        </w:rPr>
      </w:pPr>
      <w:r>
        <w:rPr>
          <w:rFonts w:hint="eastAsia" w:ascii="仿宋" w:hAnsi="仿宋" w:eastAsia="仿宋" w:cs="仿宋"/>
          <w:b/>
          <w:color w:val="auto"/>
          <w:sz w:val="24"/>
          <w:highlight w:val="none"/>
        </w:rPr>
        <w:t>合同履约期限：</w:t>
      </w:r>
      <w:r>
        <w:rPr>
          <w:rFonts w:hint="eastAsia" w:ascii="仿宋" w:hAnsi="仿宋" w:eastAsia="仿宋" w:cs="仿宋"/>
          <w:bCs/>
          <w:color w:val="auto"/>
          <w:sz w:val="24"/>
          <w:highlight w:val="none"/>
        </w:rPr>
        <w:t>详见</w:t>
      </w:r>
      <w:r>
        <w:rPr>
          <w:rFonts w:hint="eastAsia" w:ascii="仿宋" w:hAnsi="仿宋" w:eastAsia="仿宋" w:cs="仿宋"/>
          <w:bCs/>
          <w:color w:val="auto"/>
          <w:sz w:val="24"/>
          <w:szCs w:val="28"/>
          <w:highlight w:val="none"/>
        </w:rPr>
        <w:t>交易文件</w:t>
      </w:r>
    </w:p>
    <w:p w14:paraId="159DBD98">
      <w:pPr>
        <w:spacing w:line="360" w:lineRule="auto"/>
        <w:ind w:firstLine="480"/>
        <w:rPr>
          <w:rFonts w:ascii="仿宋" w:hAnsi="仿宋" w:eastAsia="仿宋" w:cs="仿宋"/>
          <w:b/>
          <w:color w:val="auto"/>
          <w:sz w:val="24"/>
          <w:highlight w:val="none"/>
        </w:rPr>
      </w:pPr>
      <w:r>
        <w:rPr>
          <w:rFonts w:hint="eastAsia" w:ascii="仿宋" w:hAnsi="仿宋" w:eastAsia="仿宋" w:cs="仿宋"/>
          <w:b/>
          <w:color w:val="auto"/>
          <w:sz w:val="24"/>
          <w:highlight w:val="none"/>
        </w:rPr>
        <w:t>本项目是否接受联合体交易：</w:t>
      </w:r>
      <w:sdt>
        <w:sdtPr>
          <w:rPr>
            <w:rFonts w:hint="eastAsia" w:ascii="仿宋" w:hAnsi="仿宋" w:eastAsia="仿宋" w:cs="仿宋"/>
            <w:color w:val="auto"/>
            <w:kern w:val="0"/>
            <w:sz w:val="24"/>
            <w:highlight w:val="none"/>
          </w:rPr>
          <w:id w:val="2035453831"/>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MS Gothic" w:hAnsi="MS Gothic" w:eastAsia="仿宋" w:cs="仿宋"/>
              <w:color w:val="auto"/>
              <w:kern w:val="0"/>
              <w:sz w:val="24"/>
              <w:highlight w:val="none"/>
            </w:rPr>
            <w:t>☐</w:t>
          </w:r>
        </w:sdtContent>
      </w:sdt>
      <w:r>
        <w:rPr>
          <w:rFonts w:hint="eastAsia" w:ascii="仿宋" w:hAnsi="仿宋" w:eastAsia="仿宋" w:cs="仿宋"/>
          <w:b/>
          <w:color w:val="auto"/>
          <w:sz w:val="24"/>
          <w:highlight w:val="none"/>
        </w:rPr>
        <w:t>是，</w:t>
      </w:r>
      <w:sdt>
        <w:sdtPr>
          <w:rPr>
            <w:rFonts w:hint="eastAsia" w:ascii="仿宋" w:hAnsi="仿宋" w:eastAsia="仿宋" w:cs="仿宋"/>
            <w:color w:val="auto"/>
            <w:kern w:val="0"/>
            <w:sz w:val="24"/>
            <w:highlight w:val="none"/>
          </w:rPr>
          <w:id w:val="-1"/>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ascii="Wingdings" w:hAnsi="Wingdings" w:eastAsia="仿宋" w:cs="仿宋"/>
              <w:color w:val="auto"/>
              <w:kern w:val="0"/>
              <w:sz w:val="24"/>
              <w:highlight w:val="none"/>
            </w:rPr>
            <w:t></w:t>
          </w:r>
        </w:sdtContent>
      </w:sdt>
      <w:r>
        <w:rPr>
          <w:rFonts w:hint="eastAsia" w:ascii="仿宋" w:hAnsi="仿宋" w:eastAsia="仿宋" w:cs="仿宋"/>
          <w:b/>
          <w:color w:val="auto"/>
          <w:sz w:val="24"/>
          <w:highlight w:val="none"/>
        </w:rPr>
        <w:t>否</w:t>
      </w:r>
      <w:r>
        <w:rPr>
          <w:rFonts w:hint="eastAsia" w:ascii="仿宋" w:hAnsi="仿宋" w:eastAsia="仿宋" w:cs="仿宋"/>
          <w:color w:val="auto"/>
          <w:kern w:val="0"/>
          <w:sz w:val="24"/>
          <w:highlight w:val="none"/>
        </w:rPr>
        <w:t>。</w:t>
      </w:r>
    </w:p>
    <w:p w14:paraId="1A47E37D">
      <w:pPr>
        <w:pStyle w:val="2"/>
        <w:ind w:firstLine="480" w:firstLineChars="200"/>
        <w:jc w:val="both"/>
        <w:rPr>
          <w:b w:val="0"/>
          <w:bCs/>
          <w:color w:val="auto"/>
          <w:highlight w:val="none"/>
        </w:rPr>
      </w:pPr>
      <w:r>
        <w:rPr>
          <w:rFonts w:hint="eastAsia" w:cs="仿宋"/>
          <w:b w:val="0"/>
          <w:bCs/>
          <w:color w:val="auto"/>
          <w:sz w:val="24"/>
          <w:szCs w:val="28"/>
          <w:highlight w:val="none"/>
        </w:rPr>
        <w:t>交易方式：公开竞争</w:t>
      </w:r>
    </w:p>
    <w:p w14:paraId="23F0909E">
      <w:pPr>
        <w:pStyle w:val="3"/>
        <w:pageBreakBefore w:val="0"/>
        <w:widowControl w:val="0"/>
        <w:numPr>
          <w:ilvl w:val="0"/>
          <w:numId w:val="0"/>
        </w:numPr>
        <w:kinsoku/>
        <w:wordWrap/>
        <w:overflowPunct/>
        <w:topLinePunct w:val="0"/>
        <w:autoSpaceDE/>
        <w:autoSpaceDN/>
        <w:bidi w:val="0"/>
        <w:snapToGrid/>
        <w:textAlignment w:val="auto"/>
        <w:rPr>
          <w:rFonts w:ascii="仿宋" w:eastAsia="仿宋" w:cs="仿宋"/>
          <w:color w:val="auto"/>
          <w:sz w:val="24"/>
          <w:szCs w:val="28"/>
          <w:highlight w:val="none"/>
        </w:rPr>
      </w:pPr>
      <w:r>
        <w:rPr>
          <w:rFonts w:hint="eastAsia" w:ascii="仿宋" w:eastAsia="仿宋" w:cs="仿宋"/>
          <w:color w:val="auto"/>
          <w:sz w:val="24"/>
          <w:szCs w:val="28"/>
          <w:highlight w:val="none"/>
        </w:rPr>
        <w:t>二、</w:t>
      </w:r>
      <w:bookmarkStart w:id="17" w:name="_Toc35393791"/>
      <w:bookmarkStart w:id="18" w:name="_Toc28359003"/>
      <w:bookmarkStart w:id="19" w:name="_Toc28359080"/>
      <w:bookmarkStart w:id="20" w:name="_Toc35393622"/>
      <w:r>
        <w:rPr>
          <w:rFonts w:hint="eastAsia" w:ascii="仿宋" w:eastAsia="仿宋" w:cs="仿宋"/>
          <w:color w:val="auto"/>
          <w:sz w:val="24"/>
          <w:szCs w:val="28"/>
          <w:highlight w:val="none"/>
        </w:rPr>
        <w:t>申请人的资格要求：</w:t>
      </w:r>
      <w:bookmarkEnd w:id="17"/>
      <w:bookmarkEnd w:id="18"/>
      <w:bookmarkEnd w:id="19"/>
      <w:bookmarkEnd w:id="20"/>
    </w:p>
    <w:p w14:paraId="798E24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snapToGrid w:val="0"/>
          <w:color w:val="auto"/>
          <w:kern w:val="28"/>
          <w:sz w:val="24"/>
          <w:szCs w:val="20"/>
          <w:highlight w:val="none"/>
        </w:rPr>
      </w:pPr>
      <w:bookmarkStart w:id="21" w:name="_Toc35393623"/>
      <w:bookmarkStart w:id="22" w:name="_Toc35393792"/>
      <w:bookmarkStart w:id="23" w:name="_Toc28359004"/>
      <w:bookmarkStart w:id="24" w:name="_Toc28359081"/>
      <w:r>
        <w:rPr>
          <w:rFonts w:hint="eastAsia" w:ascii="仿宋" w:hAnsi="仿宋" w:eastAsia="仿宋" w:cs="仿宋"/>
          <w:snapToGrid w:val="0"/>
          <w:color w:val="auto"/>
          <w:kern w:val="28"/>
          <w:sz w:val="24"/>
          <w:szCs w:val="20"/>
          <w:highlight w:val="none"/>
        </w:rPr>
        <w:t>1.具有独立承担民事责任能力的独立法人企业。</w:t>
      </w:r>
    </w:p>
    <w:p w14:paraId="3B6F2F75">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2.具有良好的商业信誉和健全的财务会计制度；</w:t>
      </w:r>
    </w:p>
    <w:p w14:paraId="5FB3DC3F">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3.具有履行合同所必需的设备和专业技术能力；</w:t>
      </w:r>
    </w:p>
    <w:p w14:paraId="1DC991AE">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4.具有依法缴纳税收和社会保障资金的良好记录；</w:t>
      </w:r>
    </w:p>
    <w:p w14:paraId="2CB2E992">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5.参加交易活动前三年内，在经营活动中没有重大违法记录；</w:t>
      </w:r>
    </w:p>
    <w:p w14:paraId="20869014">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6.法律、行政法规规定的其他条件；</w:t>
      </w:r>
    </w:p>
    <w:p w14:paraId="24FD6BE8">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eastAsia"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7、其他特定条件：具备建设行政主管部门颁发的《建设工程质量检测机构资质证书》，资质类别为综合资质或检测专项资质（检测范围包含“桥梁及地下工程”）。省外检测机构须到浙江省建设行政主管部门完成备案。</w:t>
      </w:r>
    </w:p>
    <w:p w14:paraId="33DD56C5">
      <w:pPr>
        <w:pStyle w:val="3"/>
        <w:pageBreakBefore w:val="0"/>
        <w:widowControl w:val="0"/>
        <w:numPr>
          <w:ilvl w:val="0"/>
          <w:numId w:val="0"/>
        </w:numPr>
        <w:kinsoku/>
        <w:wordWrap/>
        <w:overflowPunct/>
        <w:topLinePunct w:val="0"/>
        <w:autoSpaceDE/>
        <w:autoSpaceDN/>
        <w:bidi w:val="0"/>
        <w:snapToGrid/>
        <w:textAlignment w:val="auto"/>
        <w:rPr>
          <w:rFonts w:ascii="仿宋" w:eastAsia="仿宋" w:cs="仿宋"/>
          <w:color w:val="auto"/>
          <w:sz w:val="24"/>
          <w:szCs w:val="28"/>
          <w:highlight w:val="none"/>
        </w:rPr>
      </w:pPr>
      <w:r>
        <w:rPr>
          <w:rFonts w:hint="eastAsia" w:ascii="仿宋" w:eastAsia="仿宋" w:cs="仿宋"/>
          <w:color w:val="auto"/>
          <w:sz w:val="24"/>
          <w:szCs w:val="28"/>
          <w:highlight w:val="none"/>
        </w:rPr>
        <w:t>三、获取</w:t>
      </w:r>
      <w:bookmarkEnd w:id="21"/>
      <w:bookmarkEnd w:id="22"/>
      <w:bookmarkEnd w:id="23"/>
      <w:bookmarkEnd w:id="24"/>
      <w:r>
        <w:rPr>
          <w:rFonts w:hint="eastAsia" w:ascii="仿宋" w:eastAsia="仿宋" w:cs="仿宋"/>
          <w:color w:val="auto"/>
          <w:sz w:val="24"/>
          <w:szCs w:val="28"/>
          <w:highlight w:val="none"/>
        </w:rPr>
        <w:t>交易文件</w:t>
      </w:r>
    </w:p>
    <w:p w14:paraId="3AF46EC0">
      <w:pPr>
        <w:pageBreakBefore w:val="0"/>
        <w:widowControl w:val="0"/>
        <w:kinsoku/>
        <w:wordWrap/>
        <w:overflowPunct/>
        <w:topLinePunct w:val="0"/>
        <w:autoSpaceDE/>
        <w:autoSpaceDN/>
        <w:bidi w:val="0"/>
        <w:snapToGrid/>
        <w:spacing w:line="360" w:lineRule="auto"/>
        <w:ind w:firstLine="482" w:firstLineChars="200"/>
        <w:textAlignment w:val="auto"/>
        <w:rPr>
          <w:rFonts w:ascii="仿宋" w:hAnsi="仿宋" w:eastAsia="仿宋" w:cs="仿宋"/>
          <w:color w:val="auto"/>
          <w:sz w:val="24"/>
          <w:highlight w:val="none"/>
        </w:rPr>
      </w:pPr>
      <w:bookmarkStart w:id="25" w:name="_Toc28359005"/>
      <w:bookmarkStart w:id="26" w:name="_Toc28359082"/>
      <w:bookmarkStart w:id="27" w:name="_Toc35393624"/>
      <w:bookmarkStart w:id="28" w:name="_Toc35393793"/>
      <w:r>
        <w:rPr>
          <w:rFonts w:hint="eastAsia" w:ascii="仿宋" w:hAnsi="仿宋" w:eastAsia="仿宋" w:cs="仿宋"/>
          <w:b/>
          <w:color w:val="auto"/>
          <w:sz w:val="24"/>
          <w:highlight w:val="none"/>
        </w:rPr>
        <w:t>时间：</w:t>
      </w:r>
      <w:r>
        <w:rPr>
          <w:rFonts w:hint="eastAsia" w:ascii="仿宋" w:hAnsi="仿宋" w:eastAsia="仿宋" w:cs="仿宋"/>
          <w:color w:val="auto"/>
          <w:sz w:val="24"/>
          <w:highlight w:val="none"/>
        </w:rPr>
        <w:t>/至</w:t>
      </w:r>
      <w:r>
        <w:rPr>
          <w:rFonts w:hint="eastAsia" w:ascii="仿宋" w:hAnsi="仿宋" w:eastAsia="仿宋" w:cs="仿宋"/>
          <w:color w:val="auto"/>
          <w:sz w:val="24"/>
          <w:highlight w:val="none"/>
          <w:u w:val="single"/>
        </w:rPr>
        <w:t xml:space="preserve"> 202</w:t>
      </w:r>
      <w:r>
        <w:rPr>
          <w:rFonts w:hint="eastAsia" w:ascii="仿宋" w:hAnsi="仿宋" w:eastAsia="仿宋" w:cs="仿宋"/>
          <w:color w:val="auto"/>
          <w:sz w:val="24"/>
          <w:highlight w:val="none"/>
          <w:u w:val="single"/>
          <w:lang w:val="en-US" w:eastAsia="zh-CN"/>
        </w:rPr>
        <w:t>6</w:t>
      </w:r>
      <w:r>
        <w:rPr>
          <w:rFonts w:hint="eastAsia" w:ascii="仿宋" w:hAnsi="仿宋" w:eastAsia="仿宋" w:cs="仿宋"/>
          <w:color w:val="auto"/>
          <w:sz w:val="24"/>
          <w:highlight w:val="none"/>
          <w:u w:val="single"/>
        </w:rPr>
        <w:t>年</w:t>
      </w:r>
      <w:r>
        <w:rPr>
          <w:rFonts w:hint="eastAsia" w:ascii="仿宋" w:hAnsi="仿宋" w:eastAsia="仿宋" w:cs="仿宋"/>
          <w:color w:val="auto"/>
          <w:sz w:val="24"/>
          <w:highlight w:val="none"/>
          <w:u w:val="single"/>
          <w:lang w:val="en-US" w:eastAsia="zh-CN"/>
        </w:rPr>
        <w:t>7</w:t>
      </w:r>
      <w:r>
        <w:rPr>
          <w:rFonts w:hint="eastAsia" w:ascii="仿宋" w:hAnsi="仿宋" w:eastAsia="仿宋" w:cs="仿宋"/>
          <w:color w:val="auto"/>
          <w:sz w:val="24"/>
          <w:highlight w:val="none"/>
          <w:u w:val="single"/>
        </w:rPr>
        <w:t>月</w:t>
      </w:r>
      <w:r>
        <w:rPr>
          <w:rFonts w:hint="eastAsia" w:ascii="仿宋" w:hAnsi="仿宋" w:eastAsia="仿宋" w:cs="仿宋"/>
          <w:color w:val="auto"/>
          <w:sz w:val="24"/>
          <w:highlight w:val="none"/>
          <w:u w:val="single"/>
          <w:lang w:val="en-US" w:eastAsia="zh-CN"/>
        </w:rPr>
        <w:t>21</w:t>
      </w:r>
      <w:r>
        <w:rPr>
          <w:rFonts w:hint="eastAsia" w:ascii="仿宋" w:hAnsi="仿宋" w:eastAsia="仿宋" w:cs="仿宋"/>
          <w:color w:val="auto"/>
          <w:sz w:val="24"/>
          <w:highlight w:val="none"/>
          <w:u w:val="single"/>
        </w:rPr>
        <w:t>日</w:t>
      </w:r>
      <w:r>
        <w:rPr>
          <w:rFonts w:hint="eastAsia" w:ascii="仿宋" w:hAnsi="仿宋" w:eastAsia="仿宋" w:cs="仿宋"/>
          <w:color w:val="auto"/>
          <w:sz w:val="24"/>
          <w:highlight w:val="none"/>
        </w:rPr>
        <w:t>，每天上午00:00至12:00 ，下午12:00至23:59（北京时间，线上获取法定节假日均可，线下获取文件法定节假日除外）</w:t>
      </w:r>
    </w:p>
    <w:p w14:paraId="41056AEF">
      <w:pPr>
        <w:pageBreakBefore w:val="0"/>
        <w:widowControl w:val="0"/>
        <w:kinsoku/>
        <w:wordWrap/>
        <w:overflowPunct/>
        <w:topLinePunct w:val="0"/>
        <w:autoSpaceDE/>
        <w:autoSpaceDN/>
        <w:bidi w:val="0"/>
        <w:snapToGrid/>
        <w:spacing w:line="360" w:lineRule="auto"/>
        <w:ind w:firstLine="482" w:firstLineChars="200"/>
        <w:textAlignment w:val="auto"/>
        <w:rPr>
          <w:rFonts w:ascii="仿宋" w:hAnsi="仿宋" w:eastAsia="仿宋" w:cs="仿宋"/>
          <w:color w:val="auto"/>
          <w:sz w:val="24"/>
          <w:highlight w:val="none"/>
        </w:rPr>
      </w:pPr>
      <w:r>
        <w:rPr>
          <w:rFonts w:hint="eastAsia" w:ascii="仿宋" w:hAnsi="仿宋" w:eastAsia="仿宋" w:cs="仿宋"/>
          <w:b/>
          <w:color w:val="auto"/>
          <w:sz w:val="24"/>
          <w:highlight w:val="none"/>
        </w:rPr>
        <w:t>地点（网址）：</w:t>
      </w:r>
      <w:r>
        <w:rPr>
          <w:rFonts w:hint="eastAsia" w:ascii="仿宋" w:hAnsi="仿宋" w:eastAsia="仿宋" w:cs="仿宋"/>
          <w:color w:val="auto"/>
          <w:sz w:val="24"/>
          <w:highlight w:val="none"/>
        </w:rPr>
        <w:t>乐采云（萧采云）平台（https://www.</w:t>
      </w:r>
      <w:r>
        <w:rPr>
          <w:rFonts w:hint="eastAsia" w:ascii="仿宋" w:hAnsi="仿宋" w:eastAsia="仿宋" w:cs="仿宋"/>
          <w:color w:val="auto"/>
          <w:sz w:val="24"/>
          <w:highlight w:val="none"/>
          <w:lang w:val="en-US" w:eastAsia="zh-CN"/>
        </w:rPr>
        <w:t>lecaiyun.com</w:t>
      </w:r>
      <w:r>
        <w:rPr>
          <w:rFonts w:hint="eastAsia" w:ascii="仿宋" w:hAnsi="仿宋" w:eastAsia="仿宋" w:cs="仿宋"/>
          <w:color w:val="auto"/>
          <w:sz w:val="24"/>
          <w:highlight w:val="none"/>
        </w:rPr>
        <w:t>）</w:t>
      </w:r>
    </w:p>
    <w:p w14:paraId="70651B50">
      <w:pPr>
        <w:spacing w:line="360" w:lineRule="auto"/>
        <w:ind w:firstLine="482" w:firstLineChars="200"/>
        <w:rPr>
          <w:rFonts w:ascii="仿宋" w:hAnsi="仿宋" w:eastAsia="仿宋" w:cs="仿宋"/>
          <w:color w:val="auto"/>
          <w:sz w:val="24"/>
          <w:highlight w:val="none"/>
        </w:rPr>
      </w:pPr>
      <w:r>
        <w:rPr>
          <w:rFonts w:hint="eastAsia" w:ascii="仿宋" w:hAnsi="仿宋" w:eastAsia="仿宋" w:cs="仿宋"/>
          <w:b/>
          <w:color w:val="auto"/>
          <w:sz w:val="24"/>
          <w:highlight w:val="none"/>
        </w:rPr>
        <w:t>方式：</w:t>
      </w:r>
      <w:r>
        <w:rPr>
          <w:rFonts w:hint="eastAsia" w:ascii="仿宋" w:hAnsi="仿宋" w:eastAsia="仿宋" w:cs="仿宋"/>
          <w:color w:val="auto"/>
          <w:sz w:val="24"/>
          <w:highlight w:val="none"/>
        </w:rPr>
        <w:t>供应商登录乐采云（萧采云）平台（https://www.</w:t>
      </w:r>
      <w:r>
        <w:rPr>
          <w:rFonts w:hint="eastAsia" w:ascii="仿宋" w:hAnsi="仿宋" w:eastAsia="仿宋" w:cs="仿宋"/>
          <w:color w:val="auto"/>
          <w:sz w:val="24"/>
          <w:highlight w:val="none"/>
          <w:lang w:val="en-US" w:eastAsia="zh-CN"/>
        </w:rPr>
        <w:t>lecaiyun.com</w:t>
      </w:r>
      <w:r>
        <w:rPr>
          <w:rFonts w:hint="eastAsia" w:ascii="仿宋" w:hAnsi="仿宋" w:eastAsia="仿宋" w:cs="仿宋"/>
          <w:color w:val="auto"/>
          <w:sz w:val="24"/>
          <w:highlight w:val="none"/>
        </w:rPr>
        <w:t xml:space="preserve">）在线申请获取交易文件（进入“项目交易”应用，在获取交易文件菜单中选择项目，申请获取交易文件）。 </w:t>
      </w:r>
    </w:p>
    <w:p w14:paraId="505D7A1C">
      <w:pPr>
        <w:spacing w:line="360" w:lineRule="auto"/>
        <w:ind w:firstLine="482" w:firstLineChars="200"/>
        <w:rPr>
          <w:rFonts w:ascii="仿宋" w:hAnsi="仿宋" w:eastAsia="仿宋" w:cs="仿宋"/>
          <w:color w:val="auto"/>
          <w:sz w:val="24"/>
          <w:highlight w:val="none"/>
        </w:rPr>
      </w:pPr>
      <w:r>
        <w:rPr>
          <w:rFonts w:hint="eastAsia" w:ascii="仿宋" w:hAnsi="仿宋" w:eastAsia="仿宋" w:cs="仿宋"/>
          <w:b/>
          <w:color w:val="auto"/>
          <w:sz w:val="24"/>
          <w:highlight w:val="none"/>
        </w:rPr>
        <w:t>售价（元）：</w:t>
      </w:r>
      <w:r>
        <w:rPr>
          <w:rFonts w:hint="eastAsia" w:ascii="仿宋" w:hAnsi="仿宋" w:eastAsia="仿宋" w:cs="仿宋"/>
          <w:color w:val="auto"/>
          <w:sz w:val="24"/>
          <w:highlight w:val="none"/>
        </w:rPr>
        <w:t xml:space="preserve">0 </w:t>
      </w:r>
      <w:r>
        <w:rPr>
          <w:rFonts w:hint="eastAsia" w:ascii="仿宋" w:hAnsi="仿宋" w:eastAsia="仿宋" w:cs="仿宋"/>
          <w:color w:val="auto"/>
          <w:sz w:val="24"/>
          <w:highlight w:val="none"/>
        </w:rPr>
        <w:tab/>
      </w:r>
    </w:p>
    <w:p w14:paraId="1E6DC021">
      <w:pPr>
        <w:pStyle w:val="3"/>
        <w:numPr>
          <w:ilvl w:val="0"/>
          <w:numId w:val="0"/>
        </w:numPr>
        <w:rPr>
          <w:rFonts w:ascii="仿宋" w:eastAsia="仿宋" w:cs="仿宋"/>
          <w:color w:val="auto"/>
          <w:sz w:val="24"/>
          <w:szCs w:val="28"/>
          <w:highlight w:val="none"/>
        </w:rPr>
      </w:pPr>
      <w:r>
        <w:rPr>
          <w:rFonts w:hint="eastAsia" w:ascii="仿宋" w:eastAsia="仿宋" w:cs="仿宋"/>
          <w:color w:val="auto"/>
          <w:sz w:val="24"/>
          <w:szCs w:val="28"/>
          <w:highlight w:val="none"/>
        </w:rPr>
        <w:t>四、提交</w:t>
      </w:r>
      <w:bookmarkEnd w:id="25"/>
      <w:bookmarkEnd w:id="26"/>
      <w:r>
        <w:rPr>
          <w:rFonts w:hint="eastAsia" w:ascii="仿宋" w:eastAsia="仿宋" w:cs="仿宋"/>
          <w:color w:val="auto"/>
          <w:sz w:val="24"/>
          <w:szCs w:val="28"/>
          <w:highlight w:val="none"/>
        </w:rPr>
        <w:t>响应文件截止时间、交易时间和地点</w:t>
      </w:r>
      <w:bookmarkEnd w:id="27"/>
      <w:bookmarkEnd w:id="28"/>
    </w:p>
    <w:p w14:paraId="652AC127">
      <w:pPr>
        <w:spacing w:line="360" w:lineRule="auto"/>
        <w:ind w:firstLine="482" w:firstLineChars="200"/>
        <w:rPr>
          <w:rFonts w:ascii="仿宋" w:hAnsi="仿宋" w:eastAsia="仿宋" w:cs="仿宋"/>
          <w:color w:val="auto"/>
          <w:sz w:val="24"/>
          <w:highlight w:val="none"/>
        </w:rPr>
      </w:pPr>
      <w:r>
        <w:rPr>
          <w:rFonts w:hint="eastAsia" w:ascii="仿宋" w:hAnsi="仿宋" w:eastAsia="仿宋" w:cs="仿宋"/>
          <w:b/>
          <w:color w:val="auto"/>
          <w:sz w:val="24"/>
          <w:highlight w:val="none"/>
        </w:rPr>
        <w:t>提交响应文件截止时间：</w:t>
      </w: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u w:val="single"/>
          <w:lang w:val="en-US" w:eastAsia="zh-CN"/>
        </w:rPr>
        <w:t>6</w:t>
      </w:r>
      <w:r>
        <w:rPr>
          <w:rFonts w:hint="eastAsia" w:ascii="仿宋" w:hAnsi="仿宋" w:eastAsia="仿宋" w:cs="仿宋"/>
          <w:color w:val="auto"/>
          <w:sz w:val="24"/>
          <w:highlight w:val="none"/>
          <w:u w:val="single"/>
        </w:rPr>
        <w:t>年</w:t>
      </w:r>
      <w:r>
        <w:rPr>
          <w:rFonts w:hint="eastAsia" w:ascii="仿宋" w:hAnsi="仿宋" w:eastAsia="仿宋" w:cs="仿宋"/>
          <w:color w:val="auto"/>
          <w:sz w:val="24"/>
          <w:highlight w:val="none"/>
          <w:u w:val="single"/>
          <w:lang w:val="en-US" w:eastAsia="zh-CN"/>
        </w:rPr>
        <w:t>7</w:t>
      </w:r>
      <w:r>
        <w:rPr>
          <w:rFonts w:hint="eastAsia" w:ascii="仿宋" w:hAnsi="仿宋" w:eastAsia="仿宋" w:cs="仿宋"/>
          <w:color w:val="auto"/>
          <w:sz w:val="24"/>
          <w:highlight w:val="none"/>
          <w:u w:val="single"/>
        </w:rPr>
        <w:t>月</w:t>
      </w:r>
      <w:r>
        <w:rPr>
          <w:rFonts w:hint="eastAsia" w:ascii="仿宋" w:hAnsi="仿宋" w:eastAsia="仿宋" w:cs="仿宋"/>
          <w:color w:val="auto"/>
          <w:sz w:val="24"/>
          <w:highlight w:val="none"/>
          <w:u w:val="single"/>
          <w:lang w:val="en-US" w:eastAsia="zh-CN"/>
        </w:rPr>
        <w:t>21</w:t>
      </w:r>
      <w:r>
        <w:rPr>
          <w:rFonts w:hint="eastAsia" w:ascii="仿宋" w:hAnsi="仿宋" w:eastAsia="仿宋" w:cs="仿宋"/>
          <w:color w:val="auto"/>
          <w:sz w:val="24"/>
          <w:highlight w:val="none"/>
          <w:u w:val="single"/>
        </w:rPr>
        <w:t>日</w:t>
      </w:r>
      <w:r>
        <w:rPr>
          <w:rFonts w:hint="eastAsia" w:ascii="仿宋" w:hAnsi="仿宋" w:eastAsia="仿宋" w:cs="仿宋"/>
          <w:color w:val="auto"/>
          <w:sz w:val="24"/>
          <w:highlight w:val="none"/>
          <w:u w:val="single"/>
          <w:lang w:val="en-US" w:eastAsia="zh-CN"/>
        </w:rPr>
        <w:t>14</w:t>
      </w:r>
      <w:r>
        <w:rPr>
          <w:rFonts w:hint="eastAsia" w:ascii="仿宋" w:hAnsi="仿宋" w:eastAsia="仿宋" w:cs="仿宋"/>
          <w:color w:val="auto"/>
          <w:sz w:val="24"/>
          <w:highlight w:val="none"/>
          <w:u w:val="single"/>
        </w:rPr>
        <w:t>点</w:t>
      </w:r>
      <w:r>
        <w:rPr>
          <w:rFonts w:hint="eastAsia" w:ascii="仿宋" w:hAnsi="仿宋" w:eastAsia="仿宋" w:cs="仿宋"/>
          <w:color w:val="auto"/>
          <w:sz w:val="24"/>
          <w:highlight w:val="none"/>
          <w:u w:val="single"/>
          <w:lang w:val="en-US" w:eastAsia="zh-CN"/>
        </w:rPr>
        <w:t>00</w:t>
      </w:r>
      <w:r>
        <w:rPr>
          <w:rFonts w:hint="eastAsia" w:ascii="仿宋" w:hAnsi="仿宋" w:eastAsia="仿宋" w:cs="仿宋"/>
          <w:color w:val="auto"/>
          <w:sz w:val="24"/>
          <w:highlight w:val="none"/>
          <w:u w:val="single"/>
        </w:rPr>
        <w:t>分00秒</w:t>
      </w:r>
      <w:r>
        <w:rPr>
          <w:rFonts w:hint="eastAsia" w:ascii="仿宋" w:hAnsi="仿宋" w:eastAsia="仿宋" w:cs="仿宋"/>
          <w:color w:val="auto"/>
          <w:sz w:val="24"/>
          <w:highlight w:val="none"/>
        </w:rPr>
        <w:t>（北京时间）</w:t>
      </w:r>
    </w:p>
    <w:p w14:paraId="4373AA4D">
      <w:pPr>
        <w:spacing w:line="360" w:lineRule="auto"/>
        <w:ind w:firstLine="482" w:firstLineChars="200"/>
        <w:rPr>
          <w:rFonts w:ascii="仿宋" w:hAnsi="仿宋" w:eastAsia="仿宋" w:cs="仿宋"/>
          <w:color w:val="auto"/>
          <w:sz w:val="24"/>
          <w:highlight w:val="none"/>
        </w:rPr>
      </w:pPr>
      <w:r>
        <w:rPr>
          <w:rFonts w:hint="eastAsia" w:ascii="仿宋" w:hAnsi="仿宋" w:eastAsia="仿宋" w:cs="仿宋"/>
          <w:b/>
          <w:color w:val="auto"/>
          <w:sz w:val="24"/>
          <w:highlight w:val="none"/>
        </w:rPr>
        <w:t>交易时间：</w:t>
      </w: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u w:val="single"/>
          <w:lang w:val="en-US" w:eastAsia="zh-CN"/>
        </w:rPr>
        <w:t>6</w:t>
      </w:r>
      <w:r>
        <w:rPr>
          <w:rFonts w:hint="eastAsia" w:ascii="仿宋" w:hAnsi="仿宋" w:eastAsia="仿宋" w:cs="仿宋"/>
          <w:color w:val="auto"/>
          <w:sz w:val="24"/>
          <w:highlight w:val="none"/>
          <w:u w:val="single"/>
        </w:rPr>
        <w:t>年</w:t>
      </w:r>
      <w:r>
        <w:rPr>
          <w:rFonts w:hint="eastAsia" w:ascii="仿宋" w:hAnsi="仿宋" w:eastAsia="仿宋" w:cs="仿宋"/>
          <w:color w:val="auto"/>
          <w:sz w:val="24"/>
          <w:highlight w:val="none"/>
          <w:u w:val="single"/>
          <w:lang w:val="en-US" w:eastAsia="zh-CN"/>
        </w:rPr>
        <w:t>7</w:t>
      </w:r>
      <w:r>
        <w:rPr>
          <w:rFonts w:hint="eastAsia" w:ascii="仿宋" w:hAnsi="仿宋" w:eastAsia="仿宋" w:cs="仿宋"/>
          <w:color w:val="auto"/>
          <w:sz w:val="24"/>
          <w:highlight w:val="none"/>
          <w:u w:val="single"/>
        </w:rPr>
        <w:t>月</w:t>
      </w:r>
      <w:r>
        <w:rPr>
          <w:rFonts w:hint="eastAsia" w:ascii="仿宋" w:hAnsi="仿宋" w:eastAsia="仿宋" w:cs="仿宋"/>
          <w:color w:val="auto"/>
          <w:sz w:val="24"/>
          <w:highlight w:val="none"/>
          <w:u w:val="single"/>
          <w:lang w:val="en-US" w:eastAsia="zh-CN"/>
        </w:rPr>
        <w:t>21</w:t>
      </w:r>
      <w:r>
        <w:rPr>
          <w:rFonts w:hint="eastAsia" w:ascii="仿宋" w:hAnsi="仿宋" w:eastAsia="仿宋" w:cs="仿宋"/>
          <w:color w:val="auto"/>
          <w:sz w:val="24"/>
          <w:highlight w:val="none"/>
          <w:u w:val="single"/>
        </w:rPr>
        <w:t>日</w:t>
      </w:r>
      <w:r>
        <w:rPr>
          <w:rFonts w:hint="eastAsia" w:ascii="仿宋" w:hAnsi="仿宋" w:eastAsia="仿宋" w:cs="仿宋"/>
          <w:color w:val="auto"/>
          <w:sz w:val="24"/>
          <w:highlight w:val="none"/>
          <w:u w:val="single"/>
          <w:lang w:val="en-US" w:eastAsia="zh-CN"/>
        </w:rPr>
        <w:t>14</w:t>
      </w:r>
      <w:r>
        <w:rPr>
          <w:rFonts w:hint="eastAsia" w:ascii="仿宋" w:hAnsi="仿宋" w:eastAsia="仿宋" w:cs="仿宋"/>
          <w:color w:val="auto"/>
          <w:sz w:val="24"/>
          <w:highlight w:val="none"/>
          <w:u w:val="single"/>
        </w:rPr>
        <w:t>点</w:t>
      </w:r>
      <w:r>
        <w:rPr>
          <w:rFonts w:hint="eastAsia" w:ascii="仿宋" w:hAnsi="仿宋" w:eastAsia="仿宋" w:cs="仿宋"/>
          <w:color w:val="auto"/>
          <w:sz w:val="24"/>
          <w:highlight w:val="none"/>
          <w:u w:val="single"/>
          <w:lang w:val="en-US" w:eastAsia="zh-CN"/>
        </w:rPr>
        <w:t>00</w:t>
      </w:r>
      <w:r>
        <w:rPr>
          <w:rFonts w:hint="eastAsia" w:ascii="仿宋" w:hAnsi="仿宋" w:eastAsia="仿宋" w:cs="仿宋"/>
          <w:color w:val="auto"/>
          <w:sz w:val="24"/>
          <w:highlight w:val="none"/>
          <w:u w:val="single"/>
        </w:rPr>
        <w:t>分00秒</w:t>
      </w:r>
    </w:p>
    <w:p w14:paraId="47EF33B0">
      <w:pPr>
        <w:spacing w:line="360" w:lineRule="auto"/>
        <w:ind w:firstLine="482" w:firstLineChars="200"/>
        <w:rPr>
          <w:rFonts w:ascii="仿宋" w:hAnsi="仿宋" w:eastAsia="仿宋" w:cs="仿宋"/>
          <w:color w:val="auto"/>
          <w:sz w:val="24"/>
          <w:highlight w:val="none"/>
        </w:rPr>
      </w:pPr>
      <w:r>
        <w:rPr>
          <w:rFonts w:hint="eastAsia" w:ascii="仿宋" w:hAnsi="仿宋" w:eastAsia="仿宋" w:cs="仿宋"/>
          <w:b/>
          <w:color w:val="auto"/>
          <w:sz w:val="24"/>
          <w:highlight w:val="none"/>
        </w:rPr>
        <w:t>交易地点：</w:t>
      </w:r>
      <w:r>
        <w:rPr>
          <w:rFonts w:hint="eastAsia" w:ascii="仿宋" w:hAnsi="仿宋" w:eastAsia="仿宋" w:cs="仿宋"/>
          <w:color w:val="auto"/>
          <w:sz w:val="24"/>
          <w:highlight w:val="none"/>
        </w:rPr>
        <w:t>乐采云（萧采云）</w:t>
      </w:r>
      <w:r>
        <w:rPr>
          <w:rFonts w:hint="eastAsia" w:ascii="仿宋_GB2312" w:hAnsi="仿宋" w:eastAsia="仿宋_GB2312"/>
          <w:color w:val="auto"/>
          <w:sz w:val="24"/>
          <w:highlight w:val="none"/>
        </w:rPr>
        <w:t>平台</w:t>
      </w:r>
      <w:r>
        <w:rPr>
          <w:rFonts w:hint="eastAsia" w:ascii="仿宋" w:hAnsi="仿宋" w:eastAsia="仿宋" w:cs="仿宋"/>
          <w:color w:val="auto"/>
          <w:sz w:val="24"/>
          <w:highlight w:val="none"/>
        </w:rPr>
        <w:t>（https://www.</w:t>
      </w:r>
      <w:r>
        <w:rPr>
          <w:rFonts w:hint="eastAsia" w:ascii="仿宋" w:hAnsi="仿宋" w:eastAsia="仿宋" w:cs="仿宋"/>
          <w:color w:val="auto"/>
          <w:sz w:val="24"/>
          <w:highlight w:val="none"/>
          <w:lang w:val="en-US" w:eastAsia="zh-CN"/>
        </w:rPr>
        <w:t>lecaiyun.com</w:t>
      </w:r>
      <w:r>
        <w:rPr>
          <w:rFonts w:hint="eastAsia" w:ascii="仿宋" w:hAnsi="仿宋" w:eastAsia="仿宋" w:cs="仿宋"/>
          <w:color w:val="auto"/>
          <w:sz w:val="24"/>
          <w:highlight w:val="none"/>
        </w:rPr>
        <w:t>）</w:t>
      </w:r>
    </w:p>
    <w:p w14:paraId="4E7667A7">
      <w:pPr>
        <w:pStyle w:val="3"/>
        <w:numPr>
          <w:ilvl w:val="0"/>
          <w:numId w:val="0"/>
        </w:numPr>
        <w:rPr>
          <w:rFonts w:ascii="仿宋" w:eastAsia="仿宋" w:cs="仿宋"/>
          <w:color w:val="auto"/>
          <w:sz w:val="24"/>
          <w:highlight w:val="none"/>
        </w:rPr>
      </w:pPr>
      <w:bookmarkStart w:id="29" w:name="_Toc35393626"/>
      <w:bookmarkStart w:id="30" w:name="_Toc35393795"/>
      <w:r>
        <w:rPr>
          <w:rFonts w:hint="eastAsia" w:ascii="仿宋" w:eastAsia="仿宋" w:cs="仿宋"/>
          <w:color w:val="auto"/>
          <w:sz w:val="24"/>
          <w:szCs w:val="28"/>
          <w:highlight w:val="none"/>
        </w:rPr>
        <w:t>五、其他补充事宜</w:t>
      </w:r>
      <w:bookmarkEnd w:id="29"/>
      <w:bookmarkEnd w:id="30"/>
      <w:bookmarkStart w:id="31" w:name="_Toc28359008"/>
      <w:bookmarkStart w:id="32" w:name="_Toc35393627"/>
      <w:bookmarkStart w:id="33" w:name="_Toc35393796"/>
      <w:bookmarkStart w:id="34" w:name="_Toc28359085"/>
    </w:p>
    <w:p w14:paraId="1AAD2F6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1.供应商认为交易文件使自己的权益受到损害的，可以自获取交易文件之日起3个工作日内，以书面形式向</w:t>
      </w:r>
      <w:r>
        <w:rPr>
          <w:rFonts w:hint="eastAsia" w:ascii="仿宋" w:hAnsi="仿宋" w:eastAsia="仿宋" w:cs="仿宋"/>
          <w:color w:val="auto"/>
          <w:sz w:val="24"/>
          <w:highlight w:val="none"/>
          <w:lang w:val="en-US" w:eastAsia="zh-CN"/>
        </w:rPr>
        <w:t>交易发起</w:t>
      </w:r>
      <w:r>
        <w:rPr>
          <w:rFonts w:hint="eastAsia" w:ascii="仿宋" w:hAnsi="仿宋" w:eastAsia="仿宋" w:cs="仿宋"/>
          <w:color w:val="auto"/>
          <w:sz w:val="24"/>
          <w:highlight w:val="none"/>
        </w:rPr>
        <w:t>人和采购代理机构提出质疑。</w:t>
      </w:r>
    </w:p>
    <w:p w14:paraId="0C601144">
      <w:pPr>
        <w:spacing w:line="360" w:lineRule="auto"/>
        <w:ind w:firstLine="480" w:firstLineChars="200"/>
        <w:rPr>
          <w:rFonts w:hint="eastAsia" w:ascii="仿宋" w:hAnsi="仿宋" w:eastAsia="仿宋" w:cs="仿宋_GB2312"/>
          <w:color w:val="auto"/>
          <w:sz w:val="24"/>
          <w:highlight w:val="none"/>
        </w:rPr>
      </w:pPr>
      <w:r>
        <w:rPr>
          <w:rFonts w:hint="eastAsia" w:ascii="仿宋_GB2312" w:hAnsi="仿宋" w:eastAsia="仿宋_GB2312"/>
          <w:color w:val="auto"/>
          <w:sz w:val="24"/>
          <w:highlight w:val="none"/>
        </w:rPr>
        <w:t>2.电子招投标的说明：</w:t>
      </w:r>
      <w:r>
        <w:rPr>
          <w:rFonts w:hint="eastAsia" w:ascii="仿宋_GB2312" w:hAnsi="仿宋" w:eastAsia="仿宋_GB2312" w:cs="仿宋_GB2312"/>
          <w:color w:val="auto"/>
          <w:sz w:val="24"/>
          <w:highlight w:val="none"/>
        </w:rPr>
        <w:t xml:space="preserve"> 1）电子招投标：本项目以数据电文形式，依托“</w:t>
      </w:r>
      <w:r>
        <w:rPr>
          <w:rFonts w:hint="eastAsia" w:ascii="仿宋" w:hAnsi="仿宋" w:eastAsia="仿宋" w:cs="仿宋"/>
          <w:color w:val="auto"/>
          <w:sz w:val="24"/>
          <w:highlight w:val="none"/>
        </w:rPr>
        <w:t>乐采云（萧采云）</w:t>
      </w:r>
      <w:r>
        <w:rPr>
          <w:rFonts w:hint="eastAsia" w:ascii="仿宋_GB2312" w:hAnsi="仿宋" w:eastAsia="仿宋_GB2312"/>
          <w:color w:val="auto"/>
          <w:sz w:val="24"/>
          <w:highlight w:val="none"/>
        </w:rPr>
        <w:t>平台</w:t>
      </w:r>
      <w:r>
        <w:rPr>
          <w:rFonts w:hint="eastAsia" w:ascii="仿宋" w:hAnsi="仿宋" w:eastAsia="仿宋" w:cs="仿宋"/>
          <w:color w:val="auto"/>
          <w:sz w:val="24"/>
          <w:highlight w:val="none"/>
        </w:rPr>
        <w:t>（https://www.lecaiyun.com）</w:t>
      </w:r>
      <w:r>
        <w:rPr>
          <w:rFonts w:hint="eastAsia" w:ascii="仿宋_GB2312" w:hAnsi="仿宋" w:eastAsia="仿宋_GB2312" w:cs="仿宋_GB2312"/>
          <w:color w:val="auto"/>
          <w:sz w:val="24"/>
          <w:highlight w:val="none"/>
        </w:rPr>
        <w:t>”进行招投标活动，不接受纸质</w:t>
      </w:r>
      <w:r>
        <w:rPr>
          <w:rFonts w:hint="eastAsia" w:ascii="仿宋_GB2312" w:hAnsi="仿宋" w:eastAsia="仿宋_GB2312" w:cs="仿宋_GB2312"/>
          <w:color w:val="auto"/>
          <w:sz w:val="24"/>
          <w:highlight w:val="none"/>
          <w:lang w:val="en-US" w:eastAsia="zh-CN"/>
        </w:rPr>
        <w:t>响应</w:t>
      </w:r>
      <w:r>
        <w:rPr>
          <w:rFonts w:hint="eastAsia" w:ascii="仿宋_GB2312" w:hAnsi="仿宋" w:eastAsia="仿宋_GB2312" w:cs="仿宋_GB2312"/>
          <w:color w:val="auto"/>
          <w:sz w:val="24"/>
          <w:highlight w:val="none"/>
        </w:rPr>
        <w:t>文件。2）投标准备：注册账号--点击“商家入驻”，进行采购供应商资料填写；申领CA数字证书---申领流程详见“浙江</w:t>
      </w:r>
      <w:r>
        <w:rPr>
          <w:rFonts w:hint="eastAsia" w:ascii="仿宋_GB2312" w:hAnsi="仿宋" w:eastAsia="仿宋_GB2312" w:cs="仿宋_GB2312"/>
          <w:color w:val="auto"/>
          <w:sz w:val="24"/>
          <w:highlight w:val="none"/>
          <w:lang w:val="en-US" w:eastAsia="zh-CN"/>
        </w:rPr>
        <w:t>企业采购信息服务网</w:t>
      </w:r>
      <w:r>
        <w:rPr>
          <w:rFonts w:hint="eastAsia" w:ascii="仿宋_GB2312" w:hAnsi="仿宋" w:eastAsia="仿宋_GB2312" w:cs="仿宋_GB2312"/>
          <w:color w:val="auto"/>
          <w:sz w:val="24"/>
          <w:highlight w:val="none"/>
        </w:rPr>
        <w:t>-下载专区-电子交易客户端-CA驱动和申领流程”；安装“</w:t>
      </w:r>
      <w:r>
        <w:rPr>
          <w:rFonts w:hint="eastAsia" w:ascii="仿宋" w:hAnsi="仿宋" w:eastAsia="仿宋" w:cs="仿宋"/>
          <w:color w:val="auto"/>
          <w:sz w:val="24"/>
          <w:highlight w:val="none"/>
        </w:rPr>
        <w:t>乐采云</w:t>
      </w:r>
      <w:r>
        <w:rPr>
          <w:rFonts w:hint="eastAsia" w:ascii="仿宋_GB2312" w:hAnsi="仿宋" w:eastAsia="仿宋_GB2312" w:cs="仿宋_GB2312"/>
          <w:color w:val="auto"/>
          <w:sz w:val="24"/>
          <w:highlight w:val="none"/>
        </w:rPr>
        <w:t>电子交易客户端”----前往“浙江政府采购网-下载专区-电子交易客户端”进行下载并安装。3）交易文件的获取：使用账号登录或者使用CA登录</w:t>
      </w:r>
      <w:r>
        <w:rPr>
          <w:rFonts w:hint="eastAsia" w:ascii="仿宋" w:hAnsi="仿宋" w:eastAsia="仿宋" w:cs="仿宋"/>
          <w:color w:val="auto"/>
          <w:sz w:val="24"/>
          <w:highlight w:val="none"/>
        </w:rPr>
        <w:t>乐采云</w:t>
      </w:r>
      <w:r>
        <w:rPr>
          <w:rFonts w:hint="eastAsia" w:ascii="仿宋_GB2312" w:hAnsi="仿宋" w:eastAsia="仿宋_GB2312" w:cs="仿宋_GB2312"/>
          <w:color w:val="auto"/>
          <w:sz w:val="24"/>
          <w:highlight w:val="none"/>
        </w:rPr>
        <w:t>平台；进入“项目采购”应用，在获取交易文件菜单中选择项目，获取交易文件。4）投标文件的制作：在“乐采云电子交易客户端”中完成“填写基本信息”、“导入投标文件”、“标书关联”、“标书检查”、“公章”、“生成电子标书”等操作。</w:t>
      </w:r>
      <w:r>
        <w:rPr>
          <w:rFonts w:hint="eastAsia" w:ascii="仿宋_GB2312" w:hAnsi="仿宋" w:eastAsia="仿宋_GB2312"/>
          <w:color w:val="auto"/>
          <w:sz w:val="24"/>
          <w:highlight w:val="none"/>
        </w:rPr>
        <w:t>5）采购人、采购机构将依托乐采云平台完成本项目的电子交易活动，平台不接受未按上述方式获取交易文件的供应商进行投标活动； 6）对未按上述方式获取交易文件的供应商对该文件提出的质疑，交易发起人或采购代理机构将不予处理；7）不提供交易文件纸质版。</w:t>
      </w:r>
      <w:r>
        <w:rPr>
          <w:rFonts w:hint="eastAsia" w:ascii="仿宋_GB2312" w:hAnsi="仿宋" w:eastAsia="仿宋_GB2312" w:cs="仿宋_GB2312"/>
          <w:color w:val="auto"/>
          <w:sz w:val="24"/>
          <w:highlight w:val="none"/>
        </w:rPr>
        <w:t>8）响应文件的传输递交：供应商在响应截止时间前将加密的响应文件上传至乐采云平台，还可以在响应截止时间前直接提交或者以邮政快递方式递交备份响应文件1份。备份响应文件的制作、存储、密封详见交易文件第二部分第15点—“备份响应文件”。</w:t>
      </w:r>
      <w:r>
        <w:rPr>
          <w:rFonts w:hint="eastAsia" w:ascii="仿宋_GB2312" w:hAnsi="仿宋" w:eastAsia="仿宋_GB2312"/>
          <w:color w:val="auto"/>
          <w:sz w:val="24"/>
          <w:highlight w:val="none"/>
        </w:rPr>
        <w:t>9）</w:t>
      </w:r>
      <w:r>
        <w:rPr>
          <w:rFonts w:hint="eastAsia" w:ascii="仿宋_GB2312" w:hAnsi="仿宋" w:eastAsia="仿宋_GB2312" w:cs="仿宋_GB2312"/>
          <w:color w:val="auto"/>
          <w:sz w:val="24"/>
          <w:highlight w:val="none"/>
        </w:rPr>
        <w:t>响应文件的解密：供应商按照平台提示和交易文件的规定在半小时内完成在线解密。通过“乐采云平台”上传递交的响应文件无法按时解密，供应商递交了备份响应文件的，以备份响应文件为依据，否则视为响应文件撤回。通过“乐采云平台”上传递交的响应文件已按时解密的，备份响应文件自动失效。供应商仅提交备份响应文件，没有在电子交易平台传输递交响应文件的，响应无效。10）具体操作指南：详见乐采云平台“服务中心-帮助文档-项目采购-操作流程-电子招投标-乐采云采购项目电子交易管理操作指南-供应商”。</w:t>
      </w:r>
    </w:p>
    <w:p w14:paraId="59723A12">
      <w:pPr>
        <w:pStyle w:val="3"/>
        <w:numPr>
          <w:ilvl w:val="0"/>
          <w:numId w:val="0"/>
        </w:numPr>
        <w:rPr>
          <w:rFonts w:ascii="仿宋" w:eastAsia="仿宋" w:cs="仿宋"/>
          <w:color w:val="auto"/>
          <w:sz w:val="24"/>
          <w:szCs w:val="28"/>
          <w:highlight w:val="none"/>
        </w:rPr>
      </w:pPr>
      <w:r>
        <w:rPr>
          <w:rFonts w:hint="eastAsia" w:ascii="仿宋" w:eastAsia="仿宋" w:cs="仿宋"/>
          <w:color w:val="auto"/>
          <w:sz w:val="24"/>
          <w:szCs w:val="28"/>
          <w:highlight w:val="none"/>
        </w:rPr>
        <w:t>六、对本次招标提出询问，请按以下方式联系。</w:t>
      </w:r>
      <w:bookmarkEnd w:id="31"/>
      <w:bookmarkEnd w:id="32"/>
      <w:bookmarkEnd w:id="33"/>
      <w:bookmarkEnd w:id="34"/>
    </w:p>
    <w:p w14:paraId="2839C7CB">
      <w:pPr>
        <w:widowControl/>
        <w:spacing w:line="360" w:lineRule="auto"/>
        <w:jc w:val="left"/>
        <w:rPr>
          <w:rFonts w:ascii="仿宋" w:hAnsi="仿宋" w:eastAsia="仿宋" w:cs="仿宋"/>
          <w:color w:val="auto"/>
          <w:sz w:val="24"/>
          <w:szCs w:val="28"/>
          <w:highlight w:val="none"/>
        </w:rPr>
      </w:pPr>
      <w:bookmarkStart w:id="35" w:name="_Toc28359009"/>
      <w:bookmarkStart w:id="36" w:name="_Toc28359086"/>
      <w:r>
        <w:rPr>
          <w:rFonts w:hint="eastAsia" w:ascii="仿宋" w:hAnsi="仿宋" w:eastAsia="仿宋" w:cs="仿宋"/>
          <w:color w:val="auto"/>
          <w:sz w:val="24"/>
          <w:szCs w:val="28"/>
          <w:highlight w:val="none"/>
        </w:rPr>
        <w:t>1.交易发起人信息</w:t>
      </w:r>
    </w:p>
    <w:p w14:paraId="29B4374C">
      <w:pPr>
        <w:spacing w:line="360" w:lineRule="auto"/>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名 称：杭州萧山城市基础设施建设有限公司 </w:t>
      </w:r>
    </w:p>
    <w:p w14:paraId="4CE7627D">
      <w:pPr>
        <w:spacing w:line="360" w:lineRule="auto"/>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地址：杭州市萧山区工人路59号</w:t>
      </w:r>
    </w:p>
    <w:p w14:paraId="46A55E6E">
      <w:pPr>
        <w:spacing w:line="360" w:lineRule="auto"/>
        <w:jc w:val="left"/>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项目联系人（询问）：</w:t>
      </w:r>
      <w:r>
        <w:rPr>
          <w:rFonts w:hint="eastAsia" w:ascii="仿宋" w:hAnsi="仿宋" w:eastAsia="仿宋" w:cs="仿宋"/>
          <w:color w:val="auto"/>
          <w:sz w:val="24"/>
          <w:szCs w:val="28"/>
          <w:highlight w:val="none"/>
          <w:lang w:val="en-US" w:eastAsia="zh-CN"/>
        </w:rPr>
        <w:t>李哲伟</w:t>
      </w:r>
    </w:p>
    <w:p w14:paraId="42E6F6C0">
      <w:pPr>
        <w:spacing w:line="360" w:lineRule="auto"/>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项目联系方式（询问）：</w:t>
      </w:r>
      <w:bookmarkStart w:id="421" w:name="_GoBack"/>
      <w:r>
        <w:rPr>
          <w:rFonts w:hint="eastAsia" w:ascii="仿宋" w:hAnsi="仿宋" w:eastAsia="仿宋" w:cs="仿宋"/>
          <w:color w:val="auto"/>
          <w:sz w:val="24"/>
          <w:szCs w:val="28"/>
          <w:highlight w:val="none"/>
        </w:rPr>
        <w:t>18967158868</w:t>
      </w:r>
      <w:bookmarkEnd w:id="421"/>
    </w:p>
    <w:p w14:paraId="18A0BB47">
      <w:pPr>
        <w:widowControl/>
        <w:spacing w:line="360" w:lineRule="auto"/>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2.交易代理机构信息</w:t>
      </w:r>
      <w:bookmarkEnd w:id="35"/>
      <w:bookmarkEnd w:id="36"/>
    </w:p>
    <w:p w14:paraId="2584F3B4">
      <w:pPr>
        <w:widowControl/>
        <w:spacing w:line="360" w:lineRule="auto"/>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名 称：浙江翔实建设项目管理有限公司</w:t>
      </w:r>
    </w:p>
    <w:p w14:paraId="01FC3561">
      <w:pPr>
        <w:widowControl/>
        <w:spacing w:line="360" w:lineRule="auto"/>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地址：杭州市萧山区北干街道金惠路358号汇通大厦4幢6楼</w:t>
      </w:r>
    </w:p>
    <w:p w14:paraId="77B91306">
      <w:pPr>
        <w:widowControl/>
        <w:spacing w:line="360" w:lineRule="auto"/>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项目联系人（询问）：汪嘉烽</w:t>
      </w:r>
    </w:p>
    <w:p w14:paraId="42D2169F">
      <w:pPr>
        <w:widowControl/>
        <w:spacing w:line="360" w:lineRule="auto"/>
        <w:jc w:val="lef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项目联系方式（询问）：18042033717</w:t>
      </w:r>
    </w:p>
    <w:p w14:paraId="581B629F">
      <w:pPr>
        <w:wordWrap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若对项目交易电子交易系统操作有疑问，可登录乐采云（https://www.lecaiyun.com），点击右侧咨询小采，获取采小蜜智能服务管家帮助，或拨打乐采云服务热线400-881-7190获取热线服务帮助。       </w:t>
      </w:r>
    </w:p>
    <w:p w14:paraId="4505CD22">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CA问题联系电话（人工）：汇信CA 400-888-4636；天谷CA 400-087-8198。</w:t>
      </w:r>
    </w:p>
    <w:p w14:paraId="4C8BD3C6">
      <w:pPr>
        <w:pStyle w:val="58"/>
        <w:jc w:val="both"/>
        <w:rPr>
          <w:rFonts w:ascii="仿宋" w:hAnsi="仿宋" w:eastAsia="仿宋" w:cs="仿宋"/>
          <w:color w:val="auto"/>
          <w:highlight w:val="none"/>
          <w:lang w:val="en-US"/>
        </w:rPr>
      </w:pPr>
    </w:p>
    <w:p w14:paraId="6DA326C1">
      <w:pPr>
        <w:pStyle w:val="2"/>
        <w:rPr>
          <w:rFonts w:cs="仿宋"/>
          <w:color w:val="auto"/>
          <w:highlight w:val="none"/>
        </w:rPr>
      </w:pPr>
      <w:r>
        <w:rPr>
          <w:rFonts w:hint="eastAsia" w:cs="仿宋"/>
          <w:color w:val="auto"/>
          <w:highlight w:val="none"/>
        </w:rPr>
        <w:br w:type="page"/>
      </w:r>
      <w:r>
        <w:rPr>
          <w:rFonts w:hint="eastAsia" w:cs="仿宋"/>
          <w:color w:val="auto"/>
          <w:highlight w:val="none"/>
        </w:rPr>
        <w:t>第二部分</w:t>
      </w:r>
      <w:bookmarkEnd w:id="9"/>
      <w:r>
        <w:rPr>
          <w:rFonts w:hint="eastAsia" w:cs="仿宋"/>
          <w:color w:val="auto"/>
          <w:highlight w:val="none"/>
        </w:rPr>
        <w:t xml:space="preserve"> 响应人须知</w:t>
      </w:r>
      <w:bookmarkEnd w:id="10"/>
    </w:p>
    <w:p w14:paraId="11E8671E">
      <w:pPr>
        <w:snapToGrid w:val="0"/>
        <w:spacing w:line="360" w:lineRule="auto"/>
        <w:jc w:val="center"/>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t>前附表</w:t>
      </w:r>
    </w:p>
    <w:bookmarkEnd w:id="11"/>
    <w:tbl>
      <w:tblPr>
        <w:tblStyle w:val="6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559"/>
        <w:gridCol w:w="6562"/>
      </w:tblGrid>
      <w:tr w14:paraId="29D660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7" w:hRule="atLeast"/>
          <w:jc w:val="center"/>
        </w:trPr>
        <w:tc>
          <w:tcPr>
            <w:tcW w:w="629" w:type="dxa"/>
            <w:tcBorders>
              <w:top w:val="single" w:color="auto" w:sz="4" w:space="0"/>
              <w:left w:val="single" w:color="auto" w:sz="4" w:space="0"/>
              <w:bottom w:val="single" w:color="auto" w:sz="4" w:space="0"/>
              <w:right w:val="single" w:color="auto" w:sz="4" w:space="0"/>
            </w:tcBorders>
            <w:vAlign w:val="center"/>
          </w:tcPr>
          <w:p w14:paraId="2C2E8D78">
            <w:pPr>
              <w:snapToGrid w:val="0"/>
              <w:spacing w:line="360" w:lineRule="auto"/>
              <w:jc w:val="center"/>
              <w:rPr>
                <w:rFonts w:ascii="仿宋" w:hAnsi="仿宋" w:eastAsia="仿宋" w:cs="仿宋_GB2312"/>
                <w:b/>
                <w:color w:val="auto"/>
                <w:sz w:val="24"/>
                <w:highlight w:val="none"/>
              </w:rPr>
            </w:pPr>
            <w:bookmarkStart w:id="37" w:name="第三部分"/>
            <w:bookmarkStart w:id="38" w:name="_Toc164416483"/>
            <w:r>
              <w:rPr>
                <w:rFonts w:hint="eastAsia" w:ascii="仿宋" w:hAnsi="仿宋" w:eastAsia="仿宋" w:cs="仿宋_GB2312"/>
                <w:b/>
                <w:color w:val="auto"/>
                <w:sz w:val="24"/>
                <w:highlight w:val="none"/>
              </w:rPr>
              <w:t>序号</w:t>
            </w:r>
          </w:p>
        </w:tc>
        <w:tc>
          <w:tcPr>
            <w:tcW w:w="1559" w:type="dxa"/>
            <w:tcBorders>
              <w:top w:val="single" w:color="000000" w:sz="8" w:space="0"/>
              <w:left w:val="single" w:color="auto" w:sz="4" w:space="0"/>
              <w:bottom w:val="single" w:color="000000" w:sz="8" w:space="0"/>
              <w:right w:val="single" w:color="000000" w:sz="8" w:space="0"/>
            </w:tcBorders>
            <w:vAlign w:val="center"/>
          </w:tcPr>
          <w:p w14:paraId="4F668D48">
            <w:pPr>
              <w:snapToGrid w:val="0"/>
              <w:spacing w:line="360" w:lineRule="auto"/>
              <w:jc w:val="center"/>
              <w:rPr>
                <w:rFonts w:ascii="仿宋" w:hAnsi="仿宋" w:eastAsia="仿宋" w:cs="仿宋_GB2312"/>
                <w:b/>
                <w:color w:val="auto"/>
                <w:sz w:val="24"/>
                <w:highlight w:val="none"/>
              </w:rPr>
            </w:pPr>
            <w:r>
              <w:rPr>
                <w:rFonts w:hint="eastAsia" w:ascii="仿宋" w:hAnsi="仿宋" w:eastAsia="仿宋" w:cs="仿宋_GB2312"/>
                <w:b/>
                <w:color w:val="auto"/>
                <w:sz w:val="24"/>
                <w:highlight w:val="none"/>
              </w:rPr>
              <w:t>事项</w:t>
            </w:r>
          </w:p>
        </w:tc>
        <w:tc>
          <w:tcPr>
            <w:tcW w:w="6562" w:type="dxa"/>
            <w:tcBorders>
              <w:top w:val="single" w:color="000000" w:sz="8" w:space="0"/>
              <w:left w:val="single" w:color="000000" w:sz="2" w:space="0"/>
              <w:bottom w:val="single" w:color="000000" w:sz="8" w:space="0"/>
              <w:right w:val="single" w:color="000000" w:sz="8" w:space="0"/>
            </w:tcBorders>
            <w:vAlign w:val="center"/>
          </w:tcPr>
          <w:p w14:paraId="18EB3CD7">
            <w:pPr>
              <w:snapToGrid w:val="0"/>
              <w:spacing w:line="360" w:lineRule="auto"/>
              <w:jc w:val="center"/>
              <w:rPr>
                <w:rFonts w:ascii="仿宋" w:hAnsi="仿宋" w:eastAsia="仿宋" w:cs="仿宋_GB2312"/>
                <w:b/>
                <w:color w:val="auto"/>
                <w:sz w:val="24"/>
                <w:highlight w:val="none"/>
              </w:rPr>
            </w:pPr>
            <w:r>
              <w:rPr>
                <w:rFonts w:hint="eastAsia" w:ascii="仿宋" w:hAnsi="仿宋" w:eastAsia="仿宋" w:cs="仿宋_GB2312"/>
                <w:b/>
                <w:color w:val="auto"/>
                <w:sz w:val="24"/>
                <w:highlight w:val="none"/>
              </w:rPr>
              <w:t>本项目的特别规定</w:t>
            </w:r>
          </w:p>
        </w:tc>
      </w:tr>
      <w:tr w14:paraId="4D1118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6428" w:hRule="atLeast"/>
          <w:jc w:val="center"/>
        </w:trPr>
        <w:tc>
          <w:tcPr>
            <w:tcW w:w="629" w:type="dxa"/>
            <w:tcBorders>
              <w:top w:val="single" w:color="auto" w:sz="4" w:space="0"/>
              <w:left w:val="single" w:color="auto" w:sz="4" w:space="0"/>
              <w:bottom w:val="single" w:color="auto" w:sz="4" w:space="0"/>
              <w:right w:val="single" w:color="auto" w:sz="4" w:space="0"/>
            </w:tcBorders>
            <w:vAlign w:val="center"/>
          </w:tcPr>
          <w:p w14:paraId="7D2D7987">
            <w:pPr>
              <w:snapToGrid w:val="0"/>
              <w:spacing w:line="360" w:lineRule="auto"/>
              <w:jc w:val="center"/>
              <w:rPr>
                <w:rFonts w:ascii="仿宋" w:hAnsi="仿宋" w:eastAsia="仿宋" w:cs="仿宋_GB2312"/>
                <w:color w:val="auto"/>
                <w:sz w:val="24"/>
                <w:highlight w:val="none"/>
              </w:rPr>
            </w:pPr>
            <w:r>
              <w:rPr>
                <w:rFonts w:hint="eastAsia" w:ascii="仿宋" w:hAnsi="仿宋" w:eastAsia="仿宋" w:cs="仿宋_GB2312"/>
                <w:color w:val="auto"/>
                <w:sz w:val="24"/>
                <w:highlight w:val="none"/>
              </w:rPr>
              <w:t>1</w:t>
            </w:r>
          </w:p>
        </w:tc>
        <w:tc>
          <w:tcPr>
            <w:tcW w:w="1559" w:type="dxa"/>
            <w:tcBorders>
              <w:top w:val="single" w:color="000000" w:sz="8" w:space="0"/>
              <w:left w:val="single" w:color="auto" w:sz="4" w:space="0"/>
              <w:bottom w:val="single" w:color="000000" w:sz="8" w:space="0"/>
              <w:right w:val="single" w:color="000000" w:sz="8" w:space="0"/>
            </w:tcBorders>
            <w:vAlign w:val="center"/>
          </w:tcPr>
          <w:p w14:paraId="0DE236C8">
            <w:pPr>
              <w:snapToGrid w:val="0"/>
              <w:spacing w:line="360" w:lineRule="auto"/>
              <w:jc w:val="center"/>
              <w:rPr>
                <w:rFonts w:ascii="仿宋" w:hAnsi="仿宋" w:eastAsia="仿宋" w:cs="仿宋_GB2312"/>
                <w:b/>
                <w:color w:val="auto"/>
                <w:sz w:val="24"/>
                <w:highlight w:val="none"/>
              </w:rPr>
            </w:pPr>
            <w:r>
              <w:rPr>
                <w:rFonts w:hint="eastAsia" w:ascii="仿宋" w:hAnsi="仿宋" w:eastAsia="仿宋" w:cs="仿宋_GB2312"/>
                <w:b/>
                <w:color w:val="auto"/>
                <w:sz w:val="24"/>
                <w:highlight w:val="none"/>
              </w:rPr>
              <w:t>报价要求</w:t>
            </w:r>
          </w:p>
        </w:tc>
        <w:tc>
          <w:tcPr>
            <w:tcW w:w="6562" w:type="dxa"/>
            <w:tcBorders>
              <w:top w:val="single" w:color="000000" w:sz="8" w:space="0"/>
              <w:left w:val="single" w:color="000000" w:sz="2" w:space="0"/>
              <w:bottom w:val="single" w:color="000000" w:sz="8" w:space="0"/>
              <w:right w:val="single" w:color="000000" w:sz="8" w:space="0"/>
            </w:tcBorders>
            <w:vAlign w:val="center"/>
          </w:tcPr>
          <w:p w14:paraId="4F4FBC30">
            <w:pPr>
              <w:snapToGrid w:val="0"/>
              <w:spacing w:line="360" w:lineRule="auto"/>
              <w:jc w:val="left"/>
              <w:rPr>
                <w:rFonts w:ascii="仿宋" w:hAnsi="仿宋" w:eastAsia="仿宋" w:cs="仿宋_GB2312"/>
                <w:color w:val="auto"/>
                <w:kern w:val="0"/>
                <w:sz w:val="24"/>
                <w:highlight w:val="none"/>
                <w:lang w:val="zh-CN"/>
              </w:rPr>
            </w:pPr>
            <w:r>
              <w:rPr>
                <w:rFonts w:hint="eastAsia" w:ascii="仿宋" w:hAnsi="仿宋" w:eastAsia="仿宋"/>
                <w:color w:val="auto"/>
                <w:kern w:val="0"/>
                <w:sz w:val="24"/>
                <w:highlight w:val="none"/>
                <w:lang w:val="zh-CN"/>
              </w:rPr>
              <w:t>有关本项目开展所需的</w:t>
            </w:r>
            <w:r>
              <w:rPr>
                <w:rFonts w:hint="eastAsia" w:ascii="仿宋" w:hAnsi="仿宋" w:eastAsia="仿宋"/>
                <w:color w:val="auto"/>
                <w:sz w:val="24"/>
                <w:highlight w:val="none"/>
              </w:rPr>
              <w:t>所有</w:t>
            </w:r>
            <w:r>
              <w:rPr>
                <w:rFonts w:hint="eastAsia" w:ascii="仿宋" w:hAnsi="仿宋" w:eastAsia="仿宋"/>
                <w:color w:val="auto"/>
                <w:kern w:val="0"/>
                <w:sz w:val="24"/>
                <w:highlight w:val="none"/>
                <w:lang w:val="zh-CN"/>
              </w:rPr>
              <w:t>费用均计入报价。</w:t>
            </w:r>
            <w:r>
              <w:rPr>
                <w:rFonts w:hint="eastAsia" w:ascii="仿宋" w:hAnsi="仿宋" w:eastAsia="仿宋"/>
                <w:color w:val="auto"/>
                <w:sz w:val="24"/>
                <w:highlight w:val="none"/>
              </w:rPr>
              <w:t>《响应（交易）一览表》是报价的唯一载体</w:t>
            </w:r>
            <w:r>
              <w:rPr>
                <w:rFonts w:hint="eastAsia" w:ascii="仿宋" w:hAnsi="仿宋" w:eastAsia="仿宋" w:cs="仿宋_GB2312"/>
                <w:color w:val="auto"/>
                <w:kern w:val="0"/>
                <w:sz w:val="24"/>
                <w:highlight w:val="none"/>
                <w:lang w:val="zh-CN"/>
              </w:rPr>
              <w:t>。响应文件中价格全部采用人民币报价。交易文件未列明，而响应人认为必需的费用也需列入报价。</w:t>
            </w:r>
          </w:p>
          <w:p w14:paraId="6820F4B9">
            <w:pPr>
              <w:snapToGrid w:val="0"/>
              <w:spacing w:line="360" w:lineRule="auto"/>
              <w:jc w:val="left"/>
              <w:rPr>
                <w:rFonts w:ascii="仿宋" w:hAnsi="仿宋" w:eastAsia="仿宋" w:cs="仿宋_GB2312"/>
                <w:b/>
                <w:color w:val="auto"/>
                <w:kern w:val="0"/>
                <w:sz w:val="24"/>
                <w:highlight w:val="none"/>
                <w:lang w:val="zh-CN"/>
              </w:rPr>
            </w:pPr>
            <w:r>
              <w:rPr>
                <w:rFonts w:hint="eastAsia" w:ascii="仿宋" w:hAnsi="仿宋" w:eastAsia="仿宋" w:cs="仿宋_GB2312"/>
                <w:b/>
                <w:color w:val="auto"/>
                <w:kern w:val="0"/>
                <w:sz w:val="24"/>
                <w:highlight w:val="none"/>
                <w:lang w:val="zh-CN"/>
              </w:rPr>
              <w:t>响应报价出现下列情形的，</w:t>
            </w:r>
            <w:r>
              <w:rPr>
                <w:rFonts w:hint="eastAsia" w:ascii="仿宋" w:hAnsi="仿宋" w:eastAsia="仿宋" w:cs="仿宋_GB2312"/>
                <w:b/>
                <w:color w:val="auto"/>
                <w:kern w:val="0"/>
                <w:sz w:val="24"/>
                <w:highlight w:val="none"/>
              </w:rPr>
              <w:t>响应</w:t>
            </w:r>
            <w:r>
              <w:rPr>
                <w:rFonts w:hint="eastAsia" w:ascii="仿宋" w:hAnsi="仿宋" w:eastAsia="仿宋" w:cs="仿宋_GB2312"/>
                <w:b/>
                <w:color w:val="auto"/>
                <w:kern w:val="0"/>
                <w:sz w:val="24"/>
                <w:highlight w:val="none"/>
                <w:lang w:val="zh-CN"/>
              </w:rPr>
              <w:t>无效：</w:t>
            </w:r>
          </w:p>
          <w:p w14:paraId="276E5E55">
            <w:pPr>
              <w:snapToGrid w:val="0"/>
              <w:spacing w:line="360" w:lineRule="auto"/>
              <w:jc w:val="left"/>
              <w:rPr>
                <w:rFonts w:ascii="仿宋" w:hAnsi="仿宋" w:eastAsia="仿宋" w:cs="仿宋_GB2312"/>
                <w:b/>
                <w:color w:val="auto"/>
                <w:kern w:val="0"/>
                <w:sz w:val="24"/>
                <w:highlight w:val="none"/>
                <w:lang w:val="zh-CN"/>
              </w:rPr>
            </w:pPr>
            <w:r>
              <w:rPr>
                <w:rFonts w:hint="eastAsia" w:ascii="仿宋" w:hAnsi="仿宋" w:eastAsia="仿宋"/>
                <w:b/>
                <w:color w:val="auto"/>
                <w:sz w:val="24"/>
                <w:highlight w:val="none"/>
              </w:rPr>
              <w:t>▲</w:t>
            </w:r>
            <w:r>
              <w:rPr>
                <w:rFonts w:hint="eastAsia" w:ascii="仿宋" w:hAnsi="仿宋" w:eastAsia="仿宋" w:cs="仿宋_GB2312"/>
                <w:b/>
                <w:color w:val="auto"/>
                <w:kern w:val="0"/>
                <w:sz w:val="24"/>
                <w:highlight w:val="none"/>
                <w:lang w:val="zh-CN"/>
              </w:rPr>
              <w:t>响应文件出现不是唯一的、有选择性响应报价的；</w:t>
            </w:r>
          </w:p>
          <w:p w14:paraId="1763D925">
            <w:pPr>
              <w:snapToGrid w:val="0"/>
              <w:spacing w:line="360" w:lineRule="auto"/>
              <w:jc w:val="left"/>
              <w:rPr>
                <w:rFonts w:ascii="仿宋" w:hAnsi="仿宋" w:eastAsia="仿宋" w:cs="仿宋_GB2312"/>
                <w:color w:val="auto"/>
                <w:kern w:val="0"/>
                <w:sz w:val="24"/>
                <w:highlight w:val="none"/>
                <w:lang w:val="zh-CN"/>
              </w:rPr>
            </w:pPr>
            <w:r>
              <w:rPr>
                <w:rFonts w:hint="eastAsia" w:ascii="仿宋" w:hAnsi="仿宋" w:eastAsia="仿宋"/>
                <w:b/>
                <w:color w:val="auto"/>
                <w:sz w:val="24"/>
                <w:highlight w:val="none"/>
              </w:rPr>
              <w:t>▲</w:t>
            </w:r>
            <w:r>
              <w:rPr>
                <w:rFonts w:hint="eastAsia" w:ascii="仿宋" w:hAnsi="仿宋" w:eastAsia="仿宋" w:cs="仿宋_GB2312"/>
                <w:b/>
                <w:color w:val="auto"/>
                <w:sz w:val="24"/>
                <w:highlight w:val="none"/>
              </w:rPr>
              <w:t>响应报价高于本项目采购预算或者最高限价的;</w:t>
            </w:r>
          </w:p>
          <w:p w14:paraId="397B7440">
            <w:pPr>
              <w:spacing w:line="360" w:lineRule="auto"/>
              <w:rPr>
                <w:rFonts w:ascii="仿宋" w:hAnsi="仿宋" w:eastAsia="仿宋" w:cs="仿宋_GB2312"/>
                <w:b/>
                <w:color w:val="auto"/>
                <w:sz w:val="24"/>
                <w:highlight w:val="none"/>
              </w:rPr>
            </w:pPr>
            <w:r>
              <w:rPr>
                <w:rFonts w:hint="eastAsia" w:ascii="仿宋" w:hAnsi="仿宋" w:eastAsia="仿宋"/>
                <w:b/>
                <w:color w:val="auto"/>
                <w:sz w:val="24"/>
                <w:highlight w:val="none"/>
              </w:rPr>
              <w:t>▲</w:t>
            </w:r>
            <w:r>
              <w:rPr>
                <w:rFonts w:hint="eastAsia" w:ascii="仿宋" w:hAnsi="仿宋" w:eastAsia="仿宋" w:cs="Arial"/>
                <w:b/>
                <w:color w:val="auto"/>
                <w:kern w:val="0"/>
                <w:sz w:val="24"/>
                <w:highlight w:val="none"/>
              </w:rPr>
              <w:t>报价明显低于其他通过符合性审查响应人的报价，有可能影响产品质量或者不能诚信履约的，未能按要求提供书面说明或者提交相关证明材料，不能证明其报价合理性的</w:t>
            </w:r>
            <w:r>
              <w:rPr>
                <w:rFonts w:hint="eastAsia" w:ascii="仿宋" w:hAnsi="仿宋" w:eastAsia="仿宋" w:cs="仿宋_GB2312"/>
                <w:b/>
                <w:color w:val="auto"/>
                <w:sz w:val="24"/>
                <w:szCs w:val="21"/>
                <w:highlight w:val="none"/>
              </w:rPr>
              <w:t>;</w:t>
            </w:r>
          </w:p>
          <w:p w14:paraId="13DE4B54">
            <w:pPr>
              <w:spacing w:line="360" w:lineRule="auto"/>
              <w:rPr>
                <w:rFonts w:ascii="仿宋" w:hAnsi="仿宋" w:eastAsia="仿宋" w:cs="仿宋_GB2312"/>
                <w:color w:val="auto"/>
                <w:sz w:val="24"/>
                <w:szCs w:val="21"/>
                <w:highlight w:val="none"/>
              </w:rPr>
            </w:pPr>
            <w:r>
              <w:rPr>
                <w:rFonts w:hint="eastAsia" w:ascii="仿宋" w:hAnsi="仿宋" w:eastAsia="仿宋"/>
                <w:b/>
                <w:color w:val="auto"/>
                <w:sz w:val="24"/>
                <w:highlight w:val="none"/>
              </w:rPr>
              <w:t>▲《响应（交易）一览表》填写不完整或字迹不能辨认或有漏项的；</w:t>
            </w:r>
          </w:p>
          <w:p w14:paraId="68E35379">
            <w:pPr>
              <w:spacing w:line="360" w:lineRule="auto"/>
              <w:rPr>
                <w:rFonts w:ascii="仿宋" w:hAnsi="仿宋" w:eastAsia="仿宋"/>
                <w:b/>
                <w:color w:val="auto"/>
                <w:sz w:val="24"/>
                <w:highlight w:val="none"/>
              </w:rPr>
            </w:pPr>
            <w:r>
              <w:rPr>
                <w:rFonts w:hint="eastAsia" w:ascii="仿宋" w:hAnsi="仿宋" w:eastAsia="仿宋" w:cs="Arial"/>
                <w:b/>
                <w:color w:val="auto"/>
                <w:kern w:val="0"/>
                <w:sz w:val="24"/>
                <w:highlight w:val="none"/>
              </w:rPr>
              <w:t>▲响应人对根据修正原则修正后的报价不确认的</w:t>
            </w:r>
            <w:r>
              <w:rPr>
                <w:rFonts w:hint="eastAsia" w:ascii="仿宋" w:hAnsi="仿宋" w:eastAsia="仿宋"/>
                <w:b/>
                <w:color w:val="auto"/>
                <w:sz w:val="24"/>
                <w:highlight w:val="none"/>
              </w:rPr>
              <w:t>。</w:t>
            </w:r>
          </w:p>
          <w:p w14:paraId="679F21EC">
            <w:pPr>
              <w:spacing w:line="360" w:lineRule="auto"/>
              <w:rPr>
                <w:rFonts w:ascii="仿宋" w:hAnsi="仿宋" w:eastAsia="仿宋"/>
                <w:color w:val="auto"/>
                <w:sz w:val="24"/>
                <w:highlight w:val="none"/>
              </w:rPr>
            </w:pPr>
            <w:r>
              <w:rPr>
                <w:rFonts w:hint="eastAsia" w:ascii="仿宋" w:hAnsi="仿宋" w:eastAsia="仿宋" w:cs="Arial"/>
                <w:b/>
                <w:color w:val="auto"/>
                <w:kern w:val="0"/>
                <w:sz w:val="24"/>
                <w:highlight w:val="none"/>
              </w:rPr>
              <w:t>▲资格文件、商务技术文件与报价文件未分开制作</w:t>
            </w:r>
            <w:r>
              <w:rPr>
                <w:rFonts w:hint="eastAsia" w:ascii="仿宋" w:hAnsi="仿宋" w:eastAsia="仿宋"/>
                <w:b/>
                <w:color w:val="auto"/>
                <w:sz w:val="24"/>
                <w:highlight w:val="none"/>
              </w:rPr>
              <w:t>。</w:t>
            </w:r>
          </w:p>
        </w:tc>
      </w:tr>
      <w:tr w14:paraId="71EC6F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723" w:hRule="atLeast"/>
          <w:jc w:val="center"/>
        </w:trPr>
        <w:tc>
          <w:tcPr>
            <w:tcW w:w="629" w:type="dxa"/>
            <w:tcBorders>
              <w:top w:val="single" w:color="auto" w:sz="4" w:space="0"/>
              <w:left w:val="single" w:color="auto" w:sz="4" w:space="0"/>
              <w:bottom w:val="single" w:color="auto" w:sz="4" w:space="0"/>
              <w:right w:val="single" w:color="auto" w:sz="4" w:space="0"/>
            </w:tcBorders>
            <w:vAlign w:val="center"/>
          </w:tcPr>
          <w:p w14:paraId="5A3FD408">
            <w:pPr>
              <w:snapToGrid w:val="0"/>
              <w:spacing w:line="360" w:lineRule="auto"/>
              <w:jc w:val="center"/>
              <w:rPr>
                <w:rFonts w:ascii="仿宋" w:hAnsi="仿宋" w:eastAsia="仿宋" w:cs="仿宋_GB2312"/>
                <w:color w:val="auto"/>
                <w:sz w:val="24"/>
                <w:highlight w:val="none"/>
              </w:rPr>
            </w:pPr>
            <w:r>
              <w:rPr>
                <w:rFonts w:hint="eastAsia" w:ascii="仿宋" w:hAnsi="仿宋" w:eastAsia="仿宋" w:cs="仿宋_GB2312"/>
                <w:color w:val="auto"/>
                <w:sz w:val="24"/>
                <w:highlight w:val="none"/>
              </w:rPr>
              <w:t>2</w:t>
            </w:r>
          </w:p>
        </w:tc>
        <w:tc>
          <w:tcPr>
            <w:tcW w:w="1559" w:type="dxa"/>
            <w:tcBorders>
              <w:top w:val="single" w:color="000000" w:sz="8" w:space="0"/>
              <w:left w:val="single" w:color="auto" w:sz="4" w:space="0"/>
              <w:bottom w:val="single" w:color="000000" w:sz="8" w:space="0"/>
              <w:right w:val="single" w:color="000000" w:sz="8" w:space="0"/>
            </w:tcBorders>
            <w:vAlign w:val="center"/>
          </w:tcPr>
          <w:p w14:paraId="680EDA86">
            <w:pPr>
              <w:spacing w:line="360" w:lineRule="auto"/>
              <w:rPr>
                <w:rFonts w:ascii="仿宋" w:hAnsi="仿宋" w:eastAsia="仿宋" w:cs="仿宋_GB2312"/>
                <w:b/>
                <w:color w:val="auto"/>
                <w:sz w:val="24"/>
                <w:highlight w:val="none"/>
              </w:rPr>
            </w:pPr>
            <w:r>
              <w:rPr>
                <w:rFonts w:hint="eastAsia" w:ascii="仿宋" w:hAnsi="仿宋" w:eastAsia="仿宋"/>
                <w:b/>
                <w:color w:val="auto"/>
                <w:sz w:val="24"/>
                <w:highlight w:val="none"/>
              </w:rPr>
              <w:t>分包或转包</w:t>
            </w:r>
          </w:p>
        </w:tc>
        <w:tc>
          <w:tcPr>
            <w:tcW w:w="6562" w:type="dxa"/>
            <w:tcBorders>
              <w:top w:val="single" w:color="000000" w:sz="8" w:space="0"/>
              <w:left w:val="single" w:color="000000" w:sz="2" w:space="0"/>
              <w:bottom w:val="single" w:color="000000" w:sz="8" w:space="0"/>
              <w:right w:val="single" w:color="000000" w:sz="8" w:space="0"/>
            </w:tcBorders>
            <w:vAlign w:val="center"/>
          </w:tcPr>
          <w:p w14:paraId="522480FB">
            <w:pPr>
              <w:snapToGrid w:val="0"/>
              <w:spacing w:line="360" w:lineRule="auto"/>
              <w:rPr>
                <w:rFonts w:ascii="仿宋" w:hAnsi="仿宋" w:eastAsia="仿宋" w:cs="仿宋_GB2312"/>
                <w:color w:val="auto"/>
                <w:sz w:val="24"/>
                <w:highlight w:val="none"/>
              </w:rPr>
            </w:pPr>
            <w:r>
              <w:rPr>
                <w:rFonts w:hint="eastAsia" w:ascii="仿宋_GB2312" w:hAnsi="仿宋" w:eastAsia="仿宋_GB2312"/>
                <w:b/>
                <w:color w:val="auto"/>
                <w:sz w:val="24"/>
                <w:highlight w:val="none"/>
              </w:rPr>
              <w:t>（√）</w:t>
            </w:r>
            <w:r>
              <w:rPr>
                <w:rFonts w:hint="eastAsia" w:ascii="仿宋_GB2312" w:hAnsi="仿宋" w:eastAsia="仿宋_GB2312" w:cs="Arial"/>
                <w:color w:val="auto"/>
                <w:kern w:val="0"/>
                <w:sz w:val="24"/>
                <w:highlight w:val="none"/>
              </w:rPr>
              <w:t>B</w:t>
            </w:r>
            <w:r>
              <w:rPr>
                <w:rFonts w:hint="eastAsia" w:ascii="仿宋_GB2312" w:hAnsi="仿宋" w:eastAsia="仿宋_GB2312"/>
                <w:color w:val="auto"/>
                <w:sz w:val="24"/>
                <w:highlight w:val="none"/>
              </w:rPr>
              <w:t>不同意分包。</w:t>
            </w:r>
          </w:p>
        </w:tc>
      </w:tr>
      <w:tr w14:paraId="668155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826" w:hRule="atLeast"/>
          <w:jc w:val="center"/>
        </w:trPr>
        <w:tc>
          <w:tcPr>
            <w:tcW w:w="629" w:type="dxa"/>
            <w:tcBorders>
              <w:top w:val="single" w:color="auto" w:sz="4" w:space="0"/>
              <w:left w:val="single" w:color="auto" w:sz="4" w:space="0"/>
              <w:bottom w:val="single" w:color="auto" w:sz="4" w:space="0"/>
              <w:right w:val="single" w:color="auto" w:sz="4" w:space="0"/>
            </w:tcBorders>
            <w:vAlign w:val="center"/>
          </w:tcPr>
          <w:p w14:paraId="37CB6BDC">
            <w:pPr>
              <w:snapToGrid w:val="0"/>
              <w:spacing w:line="360" w:lineRule="auto"/>
              <w:jc w:val="center"/>
              <w:rPr>
                <w:rFonts w:ascii="仿宋" w:hAnsi="仿宋" w:eastAsia="仿宋" w:cs="仿宋_GB2312"/>
                <w:color w:val="auto"/>
                <w:sz w:val="24"/>
                <w:highlight w:val="none"/>
              </w:rPr>
            </w:pPr>
            <w:r>
              <w:rPr>
                <w:rFonts w:hint="eastAsia" w:ascii="仿宋" w:hAnsi="仿宋" w:eastAsia="仿宋" w:cs="仿宋_GB2312"/>
                <w:color w:val="auto"/>
                <w:sz w:val="24"/>
                <w:highlight w:val="none"/>
              </w:rPr>
              <w:t>3</w:t>
            </w:r>
          </w:p>
        </w:tc>
        <w:tc>
          <w:tcPr>
            <w:tcW w:w="1559" w:type="dxa"/>
            <w:tcBorders>
              <w:top w:val="single" w:color="000000" w:sz="8" w:space="0"/>
              <w:left w:val="single" w:color="auto" w:sz="4" w:space="0"/>
              <w:bottom w:val="single" w:color="000000" w:sz="8" w:space="0"/>
              <w:right w:val="single" w:color="000000" w:sz="8" w:space="0"/>
            </w:tcBorders>
            <w:vAlign w:val="center"/>
          </w:tcPr>
          <w:p w14:paraId="51BA0654">
            <w:pPr>
              <w:snapToGrid w:val="0"/>
              <w:spacing w:line="360" w:lineRule="auto"/>
              <w:jc w:val="center"/>
              <w:rPr>
                <w:rFonts w:ascii="仿宋" w:hAnsi="仿宋" w:eastAsia="仿宋" w:cs="仿宋_GB2312"/>
                <w:b/>
                <w:color w:val="auto"/>
                <w:sz w:val="24"/>
                <w:highlight w:val="none"/>
              </w:rPr>
            </w:pPr>
            <w:r>
              <w:rPr>
                <w:rFonts w:hint="eastAsia" w:ascii="仿宋" w:hAnsi="仿宋" w:eastAsia="仿宋" w:cs="仿宋_GB2312"/>
                <w:b/>
                <w:color w:val="auto"/>
                <w:sz w:val="24"/>
                <w:highlight w:val="none"/>
              </w:rPr>
              <w:t>响应人应当提供的资格、资信证明等文件</w:t>
            </w:r>
          </w:p>
        </w:tc>
        <w:tc>
          <w:tcPr>
            <w:tcW w:w="6562" w:type="dxa"/>
            <w:tcBorders>
              <w:top w:val="single" w:color="000000" w:sz="8" w:space="0"/>
              <w:left w:val="single" w:color="000000" w:sz="2" w:space="0"/>
              <w:bottom w:val="single" w:color="000000" w:sz="8" w:space="0"/>
              <w:right w:val="single" w:color="000000" w:sz="8" w:space="0"/>
            </w:tcBorders>
            <w:vAlign w:val="center"/>
          </w:tcPr>
          <w:p w14:paraId="40A7F781">
            <w:pPr>
              <w:numPr>
                <w:ilvl w:val="0"/>
                <w:numId w:val="7"/>
              </w:numPr>
              <w:spacing w:line="360" w:lineRule="auto"/>
              <w:jc w:val="left"/>
              <w:rPr>
                <w:rFonts w:ascii="仿宋" w:hAnsi="仿宋" w:eastAsia="仿宋" w:cs="仿宋_GB2312"/>
                <w:color w:val="auto"/>
                <w:sz w:val="24"/>
                <w:highlight w:val="none"/>
              </w:rPr>
            </w:pPr>
            <w:r>
              <w:rPr>
                <w:rFonts w:hint="eastAsia" w:ascii="仿宋" w:hAnsi="仿宋" w:eastAsia="仿宋"/>
                <w:color w:val="auto"/>
                <w:sz w:val="24"/>
                <w:highlight w:val="none"/>
              </w:rPr>
              <w:t>资格证明文件：</w:t>
            </w:r>
            <w:r>
              <w:rPr>
                <w:rFonts w:hint="eastAsia" w:ascii="仿宋_GB2312" w:hAnsi="仿宋" w:eastAsia="仿宋_GB2312"/>
                <w:color w:val="auto"/>
                <w:kern w:val="0"/>
                <w:sz w:val="24"/>
                <w:highlight w:val="none"/>
              </w:rPr>
              <w:t>见交易文件第二部分</w:t>
            </w:r>
            <w:r>
              <w:rPr>
                <w:rFonts w:hint="eastAsia" w:ascii="仿宋_GB2312" w:hAnsi="仿宋" w:eastAsia="仿宋_GB2312" w:cs="仿宋_GB2312"/>
                <w:color w:val="auto"/>
                <w:kern w:val="0"/>
                <w:sz w:val="24"/>
                <w:highlight w:val="none"/>
              </w:rPr>
              <w:t>10.1。</w:t>
            </w:r>
          </w:p>
          <w:p w14:paraId="722FE5AA">
            <w:pPr>
              <w:numPr>
                <w:ilvl w:val="0"/>
                <w:numId w:val="7"/>
              </w:numPr>
              <w:spacing w:line="360" w:lineRule="auto"/>
              <w:rPr>
                <w:rFonts w:ascii="仿宋" w:hAnsi="仿宋" w:eastAsia="仿宋"/>
                <w:color w:val="auto"/>
                <w:sz w:val="24"/>
                <w:highlight w:val="none"/>
              </w:rPr>
            </w:pPr>
            <w:r>
              <w:rPr>
                <w:rFonts w:hint="eastAsia" w:ascii="仿宋" w:hAnsi="仿宋" w:eastAsia="仿宋"/>
                <w:color w:val="auto"/>
                <w:sz w:val="24"/>
                <w:highlight w:val="none"/>
              </w:rPr>
              <w:t>资信证明文件：</w:t>
            </w:r>
            <w:r>
              <w:rPr>
                <w:rFonts w:hint="eastAsia" w:ascii="仿宋_GB2312" w:hAnsi="仿宋" w:eastAsia="仿宋_GB2312"/>
                <w:color w:val="auto"/>
                <w:sz w:val="24"/>
                <w:highlight w:val="none"/>
              </w:rPr>
              <w:t>根据交易文件第四部分评标标准提供。</w:t>
            </w:r>
          </w:p>
          <w:p w14:paraId="5D56CFB6">
            <w:pPr>
              <w:spacing w:line="360" w:lineRule="auto"/>
              <w:rPr>
                <w:rFonts w:ascii="仿宋" w:hAnsi="仿宋" w:eastAsia="仿宋"/>
                <w:color w:val="auto"/>
                <w:kern w:val="0"/>
                <w:sz w:val="24"/>
                <w:highlight w:val="none"/>
              </w:rPr>
            </w:pPr>
            <w:r>
              <w:rPr>
                <w:rFonts w:hint="eastAsia" w:ascii="仿宋" w:hAnsi="仿宋" w:eastAsia="仿宋" w:cs="仿宋_GB2312"/>
                <w:color w:val="auto"/>
                <w:sz w:val="24"/>
                <w:highlight w:val="none"/>
              </w:rPr>
              <w:t>响应人未提供（1）的有效的资格证明文件的，视为响应人不具备交易文件中规定的资格要求，响应无效。</w:t>
            </w:r>
          </w:p>
        </w:tc>
      </w:tr>
      <w:tr w14:paraId="2AA44C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7" w:hRule="atLeast"/>
          <w:jc w:val="center"/>
        </w:trPr>
        <w:tc>
          <w:tcPr>
            <w:tcW w:w="629" w:type="dxa"/>
            <w:tcBorders>
              <w:top w:val="single" w:color="auto" w:sz="4" w:space="0"/>
              <w:left w:val="single" w:color="auto" w:sz="4" w:space="0"/>
              <w:bottom w:val="single" w:color="auto" w:sz="4" w:space="0"/>
              <w:right w:val="single" w:color="auto" w:sz="4" w:space="0"/>
            </w:tcBorders>
            <w:vAlign w:val="center"/>
          </w:tcPr>
          <w:p w14:paraId="71DCB771">
            <w:pPr>
              <w:snapToGrid w:val="0"/>
              <w:spacing w:line="360" w:lineRule="auto"/>
              <w:ind w:firstLine="240" w:firstLineChars="100"/>
              <w:rPr>
                <w:rFonts w:ascii="仿宋" w:hAnsi="仿宋" w:eastAsia="仿宋" w:cs="仿宋_GB2312"/>
                <w:color w:val="auto"/>
                <w:sz w:val="24"/>
                <w:highlight w:val="none"/>
              </w:rPr>
            </w:pPr>
            <w:r>
              <w:rPr>
                <w:rFonts w:ascii="仿宋" w:hAnsi="仿宋" w:eastAsia="仿宋" w:cs="仿宋_GB2312"/>
                <w:color w:val="auto"/>
                <w:sz w:val="24"/>
                <w:highlight w:val="none"/>
              </w:rPr>
              <w:t>4</w:t>
            </w:r>
          </w:p>
        </w:tc>
        <w:tc>
          <w:tcPr>
            <w:tcW w:w="1559" w:type="dxa"/>
            <w:tcBorders>
              <w:top w:val="single" w:color="auto" w:sz="4" w:space="0"/>
              <w:left w:val="single" w:color="auto" w:sz="4" w:space="0"/>
              <w:bottom w:val="single" w:color="000000" w:sz="8" w:space="0"/>
              <w:right w:val="single" w:color="000000" w:sz="8" w:space="0"/>
            </w:tcBorders>
            <w:vAlign w:val="center"/>
          </w:tcPr>
          <w:p w14:paraId="58EF2D24">
            <w:pPr>
              <w:spacing w:line="360" w:lineRule="auto"/>
              <w:rPr>
                <w:rFonts w:ascii="仿宋" w:hAnsi="仿宋" w:eastAsia="仿宋" w:cs="仿宋_GB2312"/>
                <w:b/>
                <w:color w:val="auto"/>
                <w:sz w:val="24"/>
                <w:highlight w:val="none"/>
              </w:rPr>
            </w:pPr>
            <w:r>
              <w:rPr>
                <w:rFonts w:hint="eastAsia" w:ascii="仿宋" w:hAnsi="仿宋" w:eastAsia="仿宋"/>
                <w:b/>
                <w:color w:val="auto"/>
                <w:sz w:val="24"/>
                <w:highlight w:val="none"/>
              </w:rPr>
              <w:t>交易前答疑会或现场考察</w:t>
            </w:r>
          </w:p>
        </w:tc>
        <w:tc>
          <w:tcPr>
            <w:tcW w:w="6562" w:type="dxa"/>
            <w:tcBorders>
              <w:top w:val="single" w:color="auto" w:sz="4" w:space="0"/>
              <w:left w:val="single" w:color="000000" w:sz="2" w:space="0"/>
              <w:bottom w:val="single" w:color="000000" w:sz="8" w:space="0"/>
              <w:right w:val="single" w:color="000000" w:sz="8" w:space="0"/>
            </w:tcBorders>
            <w:vAlign w:val="center"/>
          </w:tcPr>
          <w:p w14:paraId="6AAC6CF6">
            <w:pPr>
              <w:spacing w:line="360" w:lineRule="auto"/>
              <w:rPr>
                <w:rFonts w:ascii="仿宋_GB2312" w:hAnsi="仿宋" w:eastAsia="仿宋_GB2312"/>
                <w:color w:val="auto"/>
                <w:sz w:val="24"/>
                <w:highlight w:val="none"/>
              </w:rPr>
            </w:pPr>
            <w:r>
              <w:rPr>
                <w:rFonts w:hint="eastAsia" w:ascii="仿宋_GB2312" w:hAnsi="仿宋" w:eastAsia="仿宋_GB2312"/>
                <w:b/>
                <w:color w:val="auto"/>
                <w:sz w:val="24"/>
                <w:highlight w:val="none"/>
              </w:rPr>
              <w:t>（√）</w:t>
            </w:r>
            <w:r>
              <w:rPr>
                <w:rFonts w:hint="eastAsia" w:ascii="仿宋_GB2312" w:hAnsi="仿宋" w:eastAsia="仿宋_GB2312" w:cs="Arial"/>
                <w:color w:val="auto"/>
                <w:kern w:val="0"/>
                <w:sz w:val="24"/>
                <w:highlight w:val="none"/>
              </w:rPr>
              <w:t>A</w:t>
            </w:r>
            <w:r>
              <w:rPr>
                <w:rFonts w:hint="eastAsia" w:ascii="仿宋_GB2312" w:hAnsi="仿宋" w:eastAsia="仿宋_GB2312"/>
                <w:color w:val="auto"/>
                <w:sz w:val="24"/>
                <w:highlight w:val="none"/>
              </w:rPr>
              <w:t>不组织。</w:t>
            </w:r>
          </w:p>
        </w:tc>
      </w:tr>
      <w:tr w14:paraId="0DD3B0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766" w:hRule="atLeast"/>
          <w:jc w:val="center"/>
        </w:trPr>
        <w:tc>
          <w:tcPr>
            <w:tcW w:w="629" w:type="dxa"/>
            <w:tcBorders>
              <w:top w:val="single" w:color="auto" w:sz="4" w:space="0"/>
              <w:left w:val="single" w:color="auto" w:sz="4" w:space="0"/>
              <w:bottom w:val="single" w:color="auto" w:sz="4" w:space="0"/>
              <w:right w:val="single" w:color="auto" w:sz="4" w:space="0"/>
            </w:tcBorders>
            <w:vAlign w:val="center"/>
          </w:tcPr>
          <w:p w14:paraId="5ED0632A">
            <w:pPr>
              <w:snapToGrid w:val="0"/>
              <w:spacing w:line="360" w:lineRule="auto"/>
              <w:jc w:val="center"/>
              <w:rPr>
                <w:rFonts w:ascii="仿宋" w:hAnsi="仿宋" w:eastAsia="仿宋" w:cs="仿宋_GB2312"/>
                <w:color w:val="auto"/>
                <w:sz w:val="24"/>
                <w:highlight w:val="none"/>
              </w:rPr>
            </w:pPr>
            <w:r>
              <w:rPr>
                <w:rFonts w:ascii="仿宋" w:hAnsi="仿宋" w:eastAsia="仿宋" w:cs="仿宋_GB2312"/>
                <w:color w:val="auto"/>
                <w:sz w:val="24"/>
                <w:highlight w:val="none"/>
              </w:rPr>
              <w:t>5</w:t>
            </w:r>
          </w:p>
        </w:tc>
        <w:tc>
          <w:tcPr>
            <w:tcW w:w="1559" w:type="dxa"/>
            <w:tcBorders>
              <w:top w:val="single" w:color="000000" w:sz="8" w:space="0"/>
              <w:left w:val="single" w:color="auto" w:sz="4" w:space="0"/>
              <w:bottom w:val="single" w:color="000000" w:sz="8" w:space="0"/>
              <w:right w:val="single" w:color="000000" w:sz="8" w:space="0"/>
            </w:tcBorders>
            <w:vAlign w:val="center"/>
          </w:tcPr>
          <w:p w14:paraId="6F76D049">
            <w:pPr>
              <w:spacing w:line="360" w:lineRule="auto"/>
              <w:jc w:val="center"/>
              <w:rPr>
                <w:rFonts w:ascii="仿宋" w:hAnsi="仿宋" w:eastAsia="仿宋" w:cs="仿宋_GB2312"/>
                <w:b/>
                <w:color w:val="auto"/>
                <w:sz w:val="24"/>
                <w:highlight w:val="none"/>
              </w:rPr>
            </w:pPr>
            <w:r>
              <w:rPr>
                <w:rFonts w:hint="eastAsia" w:ascii="仿宋" w:hAnsi="仿宋" w:eastAsia="仿宋"/>
                <w:b/>
                <w:color w:val="auto"/>
                <w:sz w:val="24"/>
                <w:highlight w:val="none"/>
              </w:rPr>
              <w:t>样品提供</w:t>
            </w:r>
          </w:p>
        </w:tc>
        <w:tc>
          <w:tcPr>
            <w:tcW w:w="6562" w:type="dxa"/>
            <w:tcBorders>
              <w:top w:val="single" w:color="000000" w:sz="8" w:space="0"/>
              <w:left w:val="single" w:color="000000" w:sz="2" w:space="0"/>
              <w:bottom w:val="single" w:color="000000" w:sz="8" w:space="0"/>
              <w:right w:val="single" w:color="000000" w:sz="8" w:space="0"/>
            </w:tcBorders>
            <w:vAlign w:val="center"/>
          </w:tcPr>
          <w:p w14:paraId="5A3E0939">
            <w:pPr>
              <w:spacing w:line="360" w:lineRule="auto"/>
              <w:rPr>
                <w:rFonts w:ascii="仿宋" w:hAnsi="仿宋" w:eastAsia="仿宋"/>
                <w:color w:val="auto"/>
                <w:sz w:val="24"/>
                <w:highlight w:val="none"/>
              </w:rPr>
            </w:pPr>
            <w:r>
              <w:rPr>
                <w:rFonts w:hint="eastAsia" w:ascii="仿宋" w:hAnsi="仿宋" w:eastAsia="仿宋"/>
                <w:snapToGrid w:val="0"/>
                <w:color w:val="auto"/>
                <w:kern w:val="28"/>
                <w:sz w:val="24"/>
                <w:highlight w:val="none"/>
              </w:rPr>
              <w:t>无</w:t>
            </w:r>
          </w:p>
        </w:tc>
      </w:tr>
      <w:tr w14:paraId="636C2A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7" w:hRule="atLeast"/>
          <w:jc w:val="center"/>
        </w:trPr>
        <w:tc>
          <w:tcPr>
            <w:tcW w:w="629" w:type="dxa"/>
            <w:tcBorders>
              <w:top w:val="single" w:color="auto" w:sz="4" w:space="0"/>
              <w:left w:val="single" w:color="auto" w:sz="4" w:space="0"/>
              <w:bottom w:val="single" w:color="auto" w:sz="4" w:space="0"/>
              <w:right w:val="single" w:color="auto" w:sz="4" w:space="0"/>
            </w:tcBorders>
            <w:vAlign w:val="center"/>
          </w:tcPr>
          <w:p w14:paraId="7C2D9F88">
            <w:pPr>
              <w:snapToGrid w:val="0"/>
              <w:spacing w:line="360" w:lineRule="auto"/>
              <w:jc w:val="center"/>
              <w:rPr>
                <w:rFonts w:ascii="仿宋" w:hAnsi="仿宋" w:eastAsia="仿宋" w:cs="仿宋_GB2312"/>
                <w:color w:val="auto"/>
                <w:sz w:val="24"/>
                <w:highlight w:val="none"/>
              </w:rPr>
            </w:pPr>
            <w:r>
              <w:rPr>
                <w:rFonts w:ascii="仿宋" w:hAnsi="仿宋" w:eastAsia="仿宋" w:cs="仿宋_GB2312"/>
                <w:color w:val="auto"/>
                <w:sz w:val="24"/>
                <w:highlight w:val="none"/>
              </w:rPr>
              <w:t>6</w:t>
            </w:r>
          </w:p>
        </w:tc>
        <w:tc>
          <w:tcPr>
            <w:tcW w:w="1559" w:type="dxa"/>
            <w:tcBorders>
              <w:top w:val="single" w:color="000000" w:sz="8" w:space="0"/>
              <w:left w:val="single" w:color="auto" w:sz="4" w:space="0"/>
              <w:bottom w:val="single" w:color="000000" w:sz="8" w:space="0"/>
              <w:right w:val="single" w:color="000000" w:sz="8" w:space="0"/>
            </w:tcBorders>
            <w:vAlign w:val="center"/>
          </w:tcPr>
          <w:p w14:paraId="515CE07B">
            <w:pPr>
              <w:spacing w:line="360" w:lineRule="auto"/>
              <w:jc w:val="center"/>
              <w:rPr>
                <w:rFonts w:ascii="仿宋" w:hAnsi="仿宋" w:eastAsia="仿宋"/>
                <w:b/>
                <w:color w:val="auto"/>
                <w:sz w:val="24"/>
                <w:highlight w:val="none"/>
              </w:rPr>
            </w:pPr>
            <w:r>
              <w:rPr>
                <w:rFonts w:hint="eastAsia" w:ascii="仿宋" w:hAnsi="仿宋" w:eastAsia="仿宋"/>
                <w:b/>
                <w:color w:val="auto"/>
                <w:sz w:val="24"/>
                <w:highlight w:val="none"/>
              </w:rPr>
              <w:t>响应文件</w:t>
            </w:r>
          </w:p>
          <w:p w14:paraId="72DA22D4">
            <w:pPr>
              <w:spacing w:line="360" w:lineRule="auto"/>
              <w:jc w:val="center"/>
              <w:rPr>
                <w:rFonts w:ascii="仿宋" w:hAnsi="仿宋" w:eastAsia="仿宋" w:cs="仿宋_GB2312"/>
                <w:b/>
                <w:color w:val="auto"/>
                <w:sz w:val="24"/>
                <w:highlight w:val="none"/>
              </w:rPr>
            </w:pPr>
            <w:r>
              <w:rPr>
                <w:rFonts w:hint="eastAsia" w:ascii="仿宋" w:hAnsi="仿宋" w:eastAsia="仿宋"/>
                <w:b/>
                <w:color w:val="auto"/>
                <w:sz w:val="24"/>
                <w:highlight w:val="none"/>
              </w:rPr>
              <w:t>的份数</w:t>
            </w:r>
          </w:p>
        </w:tc>
        <w:tc>
          <w:tcPr>
            <w:tcW w:w="6562" w:type="dxa"/>
            <w:tcBorders>
              <w:top w:val="single" w:color="000000" w:sz="8" w:space="0"/>
              <w:left w:val="single" w:color="000000" w:sz="2" w:space="0"/>
              <w:bottom w:val="single" w:color="000000" w:sz="8" w:space="0"/>
              <w:right w:val="single" w:color="000000" w:sz="8" w:space="0"/>
            </w:tcBorders>
            <w:vAlign w:val="center"/>
          </w:tcPr>
          <w:p w14:paraId="331BF895">
            <w:pPr>
              <w:pStyle w:val="32"/>
              <w:snapToGrid w:val="0"/>
              <w:spacing w:before="120" w:after="120" w:line="360" w:lineRule="auto"/>
              <w:rPr>
                <w:rFonts w:ascii="仿宋" w:hAnsi="仿宋" w:eastAsia="仿宋"/>
                <w:color w:val="auto"/>
                <w:sz w:val="24"/>
                <w:highlight w:val="none"/>
              </w:rPr>
            </w:pPr>
            <w:r>
              <w:rPr>
                <w:rFonts w:ascii="仿宋" w:hAnsi="仿宋" w:eastAsia="仿宋"/>
                <w:color w:val="auto"/>
                <w:sz w:val="24"/>
                <w:highlight w:val="none"/>
              </w:rPr>
              <w:t>本项目实行</w:t>
            </w:r>
            <w:r>
              <w:rPr>
                <w:rFonts w:hint="eastAsia" w:ascii="仿宋" w:hAnsi="仿宋" w:eastAsia="仿宋"/>
                <w:color w:val="auto"/>
                <w:sz w:val="24"/>
                <w:highlight w:val="none"/>
              </w:rPr>
              <w:t>电子交易。</w:t>
            </w:r>
          </w:p>
          <w:p w14:paraId="2332EB3A">
            <w:pPr>
              <w:pStyle w:val="32"/>
              <w:snapToGrid w:val="0"/>
              <w:spacing w:before="120" w:after="120" w:line="360" w:lineRule="auto"/>
              <w:ind w:firstLine="360" w:firstLineChars="150"/>
              <w:rPr>
                <w:rFonts w:ascii="仿宋" w:hAnsi="仿宋" w:eastAsia="仿宋"/>
                <w:color w:val="auto"/>
                <w:sz w:val="24"/>
                <w:highlight w:val="none"/>
              </w:rPr>
            </w:pPr>
            <w:r>
              <w:rPr>
                <w:rFonts w:hint="eastAsia" w:ascii="仿宋" w:hAnsi="仿宋" w:eastAsia="仿宋"/>
                <w:color w:val="auto"/>
                <w:sz w:val="24"/>
                <w:highlight w:val="none"/>
              </w:rPr>
              <w:t>供应商应准备电子响应文件参与交易：</w:t>
            </w:r>
          </w:p>
          <w:p w14:paraId="0E99834D">
            <w:pPr>
              <w:pStyle w:val="32"/>
              <w:numPr>
                <w:ilvl w:val="0"/>
                <w:numId w:val="8"/>
              </w:numPr>
              <w:snapToGrid w:val="0"/>
              <w:spacing w:before="120" w:after="120" w:line="360" w:lineRule="auto"/>
              <w:rPr>
                <w:rFonts w:ascii="仿宋" w:hAnsi="仿宋" w:eastAsia="仿宋"/>
                <w:color w:val="auto"/>
                <w:sz w:val="24"/>
                <w:highlight w:val="none"/>
              </w:rPr>
            </w:pPr>
            <w:r>
              <w:rPr>
                <w:rFonts w:hint="eastAsia" w:ascii="仿宋" w:hAnsi="仿宋" w:eastAsia="仿宋"/>
                <w:color w:val="auto"/>
                <w:sz w:val="24"/>
                <w:highlight w:val="none"/>
              </w:rPr>
              <w:t>电子响应文件，按乐采云平台</w:t>
            </w:r>
            <w:r>
              <w:rPr>
                <w:rFonts w:ascii="仿宋" w:hAnsi="仿宋" w:eastAsia="仿宋"/>
                <w:color w:val="auto"/>
                <w:sz w:val="24"/>
                <w:highlight w:val="none"/>
              </w:rPr>
              <w:t>项目采购-电子</w:t>
            </w:r>
            <w:r>
              <w:rPr>
                <w:rFonts w:hint="eastAsia" w:ascii="仿宋" w:hAnsi="仿宋" w:eastAsia="仿宋"/>
                <w:color w:val="auto"/>
                <w:sz w:val="24"/>
                <w:highlight w:val="none"/>
              </w:rPr>
              <w:t>招投标</w:t>
            </w:r>
            <w:r>
              <w:rPr>
                <w:rFonts w:ascii="仿宋" w:hAnsi="仿宋" w:eastAsia="仿宋"/>
                <w:color w:val="auto"/>
                <w:sz w:val="24"/>
                <w:highlight w:val="none"/>
              </w:rPr>
              <w:t>操作指南</w:t>
            </w:r>
            <w:r>
              <w:rPr>
                <w:rFonts w:hint="eastAsia" w:ascii="仿宋" w:hAnsi="仿宋" w:eastAsia="仿宋"/>
                <w:color w:val="auto"/>
                <w:sz w:val="24"/>
                <w:highlight w:val="none"/>
              </w:rPr>
              <w:t>及本交易文件要求递交</w:t>
            </w:r>
            <w:r>
              <w:rPr>
                <w:rFonts w:ascii="仿宋" w:hAnsi="仿宋" w:eastAsia="仿宋"/>
                <w:color w:val="auto"/>
                <w:sz w:val="24"/>
                <w:highlight w:val="none"/>
              </w:rPr>
              <w:t>。</w:t>
            </w:r>
          </w:p>
          <w:p w14:paraId="694868E2">
            <w:pPr>
              <w:spacing w:line="360" w:lineRule="auto"/>
              <w:rPr>
                <w:rFonts w:ascii="仿宋" w:hAnsi="仿宋" w:eastAsia="仿宋"/>
                <w:b/>
                <w:color w:val="auto"/>
                <w:sz w:val="24"/>
                <w:highlight w:val="none"/>
              </w:rPr>
            </w:pPr>
            <w:r>
              <w:rPr>
                <w:rFonts w:hint="eastAsia" w:ascii="仿宋" w:hAnsi="仿宋" w:eastAsia="仿宋"/>
                <w:b/>
                <w:color w:val="auto"/>
                <w:sz w:val="24"/>
                <w:highlight w:val="none"/>
              </w:rPr>
              <w:t>▲未传输递交电子响应文件的，响应无效。</w:t>
            </w:r>
          </w:p>
          <w:p w14:paraId="01F3DD3C">
            <w:pPr>
              <w:spacing w:line="360" w:lineRule="auto"/>
              <w:rPr>
                <w:rFonts w:ascii="仿宋" w:hAnsi="仿宋" w:eastAsia="仿宋"/>
                <w:b/>
                <w:color w:val="auto"/>
                <w:sz w:val="24"/>
                <w:highlight w:val="none"/>
              </w:rPr>
            </w:pPr>
            <w:r>
              <w:rPr>
                <w:rFonts w:hint="eastAsia" w:ascii="仿宋" w:hAnsi="仿宋" w:eastAsia="仿宋"/>
                <w:b/>
                <w:color w:val="auto"/>
                <w:sz w:val="24"/>
                <w:highlight w:val="none"/>
              </w:rPr>
              <w:t>▲未在系统解密时间内完成解密的，视为响应人自行放弃交易响应无效。</w:t>
            </w:r>
          </w:p>
          <w:p w14:paraId="6EAB4F8D">
            <w:pPr>
              <w:spacing w:line="360" w:lineRule="auto"/>
              <w:rPr>
                <w:rFonts w:ascii="仿宋" w:hAnsi="仿宋" w:eastAsia="仿宋"/>
                <w:b/>
                <w:color w:val="auto"/>
                <w:sz w:val="24"/>
                <w:highlight w:val="none"/>
              </w:rPr>
            </w:pPr>
            <w:r>
              <w:rPr>
                <w:rFonts w:hint="eastAsia" w:ascii="仿宋" w:hAnsi="仿宋" w:eastAsia="仿宋"/>
                <w:b/>
                <w:color w:val="auto"/>
                <w:sz w:val="24"/>
                <w:highlight w:val="none"/>
              </w:rPr>
              <w:t>本项目备份响应文件：不提供</w:t>
            </w:r>
          </w:p>
        </w:tc>
      </w:tr>
      <w:tr w14:paraId="2AB743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735" w:hRule="atLeast"/>
          <w:jc w:val="center"/>
        </w:trPr>
        <w:tc>
          <w:tcPr>
            <w:tcW w:w="629" w:type="dxa"/>
            <w:tcBorders>
              <w:top w:val="single" w:color="auto" w:sz="4" w:space="0"/>
              <w:left w:val="single" w:color="000000" w:sz="8" w:space="0"/>
              <w:bottom w:val="single" w:color="auto" w:sz="4" w:space="0"/>
              <w:right w:val="single" w:color="000000" w:sz="2" w:space="0"/>
            </w:tcBorders>
            <w:vAlign w:val="center"/>
          </w:tcPr>
          <w:p w14:paraId="5BC4B1C8">
            <w:pPr>
              <w:snapToGrid w:val="0"/>
              <w:spacing w:line="360" w:lineRule="auto"/>
              <w:jc w:val="center"/>
              <w:rPr>
                <w:rFonts w:ascii="仿宋" w:hAnsi="仿宋" w:eastAsia="仿宋" w:cs="仿宋_GB2312"/>
                <w:color w:val="auto"/>
                <w:sz w:val="24"/>
                <w:highlight w:val="none"/>
              </w:rPr>
            </w:pPr>
            <w:r>
              <w:rPr>
                <w:rFonts w:ascii="仿宋" w:hAnsi="仿宋" w:eastAsia="仿宋" w:cs="仿宋_GB2312"/>
                <w:color w:val="auto"/>
                <w:sz w:val="24"/>
                <w:highlight w:val="none"/>
              </w:rPr>
              <w:t>7</w:t>
            </w:r>
          </w:p>
        </w:tc>
        <w:tc>
          <w:tcPr>
            <w:tcW w:w="1559" w:type="dxa"/>
            <w:tcBorders>
              <w:top w:val="single" w:color="000000" w:sz="8" w:space="0"/>
              <w:left w:val="single" w:color="000000" w:sz="2" w:space="0"/>
              <w:bottom w:val="single" w:color="000000" w:sz="8" w:space="0"/>
              <w:right w:val="single" w:color="000000" w:sz="8" w:space="0"/>
            </w:tcBorders>
            <w:vAlign w:val="center"/>
          </w:tcPr>
          <w:p w14:paraId="0242FEDA">
            <w:pPr>
              <w:spacing w:line="360" w:lineRule="auto"/>
              <w:jc w:val="center"/>
              <w:rPr>
                <w:rFonts w:ascii="仿宋" w:hAnsi="仿宋" w:eastAsia="仿宋" w:cs="仿宋_GB2312"/>
                <w:bCs/>
                <w:color w:val="auto"/>
                <w:sz w:val="24"/>
                <w:highlight w:val="none"/>
              </w:rPr>
            </w:pPr>
            <w:r>
              <w:rPr>
                <w:rFonts w:hint="eastAsia" w:ascii="仿宋" w:hAnsi="仿宋" w:eastAsia="仿宋"/>
                <w:b/>
                <w:color w:val="auto"/>
                <w:sz w:val="24"/>
                <w:highlight w:val="none"/>
              </w:rPr>
              <w:t>方案讲解演示</w:t>
            </w:r>
          </w:p>
        </w:tc>
        <w:tc>
          <w:tcPr>
            <w:tcW w:w="6562" w:type="dxa"/>
            <w:tcBorders>
              <w:top w:val="single" w:color="000000" w:sz="8" w:space="0"/>
              <w:left w:val="single" w:color="000000" w:sz="2" w:space="0"/>
              <w:bottom w:val="single" w:color="000000" w:sz="8" w:space="0"/>
              <w:right w:val="single" w:color="000000" w:sz="8" w:space="0"/>
            </w:tcBorders>
            <w:vAlign w:val="center"/>
          </w:tcPr>
          <w:p w14:paraId="73E3C52F">
            <w:pPr>
              <w:spacing w:line="360" w:lineRule="auto"/>
              <w:rPr>
                <w:rFonts w:ascii="仿宋" w:hAnsi="仿宋" w:eastAsia="仿宋"/>
                <w:color w:val="auto"/>
                <w:sz w:val="24"/>
                <w:highlight w:val="none"/>
              </w:rPr>
            </w:pPr>
            <w:r>
              <w:rPr>
                <w:rFonts w:hint="eastAsia" w:ascii="仿宋" w:hAnsi="仿宋" w:eastAsia="仿宋"/>
                <w:color w:val="auto"/>
                <w:sz w:val="24"/>
                <w:highlight w:val="none"/>
              </w:rPr>
              <w:t>（√）A不组织。</w:t>
            </w:r>
          </w:p>
        </w:tc>
      </w:tr>
      <w:tr w14:paraId="314350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831" w:hRule="atLeast"/>
          <w:jc w:val="center"/>
        </w:trPr>
        <w:tc>
          <w:tcPr>
            <w:tcW w:w="629" w:type="dxa"/>
            <w:tcBorders>
              <w:top w:val="single" w:color="auto" w:sz="4" w:space="0"/>
              <w:left w:val="single" w:color="000000" w:sz="8" w:space="0"/>
              <w:bottom w:val="single" w:color="auto" w:sz="4" w:space="0"/>
              <w:right w:val="single" w:color="000000" w:sz="2" w:space="0"/>
            </w:tcBorders>
            <w:vAlign w:val="center"/>
          </w:tcPr>
          <w:p w14:paraId="7D12A8B0">
            <w:pPr>
              <w:snapToGrid w:val="0"/>
              <w:spacing w:line="360" w:lineRule="auto"/>
              <w:jc w:val="center"/>
              <w:rPr>
                <w:rFonts w:ascii="仿宋" w:hAnsi="仿宋" w:eastAsia="仿宋" w:cs="仿宋_GB2312"/>
                <w:color w:val="auto"/>
                <w:sz w:val="24"/>
                <w:highlight w:val="none"/>
              </w:rPr>
            </w:pPr>
            <w:r>
              <w:rPr>
                <w:rFonts w:hint="eastAsia" w:ascii="仿宋" w:hAnsi="仿宋" w:eastAsia="仿宋" w:cs="仿宋_GB2312"/>
                <w:color w:val="auto"/>
                <w:sz w:val="24"/>
                <w:highlight w:val="none"/>
              </w:rPr>
              <w:t>8</w:t>
            </w:r>
          </w:p>
        </w:tc>
        <w:tc>
          <w:tcPr>
            <w:tcW w:w="1559" w:type="dxa"/>
            <w:tcBorders>
              <w:top w:val="single" w:color="000000" w:sz="8" w:space="0"/>
              <w:left w:val="single" w:color="000000" w:sz="2" w:space="0"/>
              <w:bottom w:val="single" w:color="000000" w:sz="8" w:space="0"/>
              <w:right w:val="single" w:color="000000" w:sz="8" w:space="0"/>
            </w:tcBorders>
            <w:vAlign w:val="center"/>
          </w:tcPr>
          <w:p w14:paraId="0BA0B95C">
            <w:pPr>
              <w:spacing w:line="360" w:lineRule="auto"/>
              <w:jc w:val="center"/>
              <w:rPr>
                <w:rFonts w:ascii="仿宋" w:hAnsi="仿宋" w:eastAsia="仿宋"/>
                <w:b/>
                <w:color w:val="auto"/>
                <w:sz w:val="24"/>
                <w:highlight w:val="none"/>
              </w:rPr>
            </w:pPr>
            <w:r>
              <w:rPr>
                <w:rFonts w:hint="eastAsia" w:ascii="仿宋" w:hAnsi="仿宋" w:eastAsia="仿宋"/>
                <w:b/>
                <w:color w:val="auto"/>
                <w:sz w:val="24"/>
                <w:highlight w:val="none"/>
              </w:rPr>
              <w:t>采购机构</w:t>
            </w:r>
          </w:p>
          <w:p w14:paraId="352899E4">
            <w:pPr>
              <w:spacing w:line="360" w:lineRule="auto"/>
              <w:jc w:val="center"/>
              <w:rPr>
                <w:rFonts w:ascii="仿宋" w:hAnsi="仿宋" w:eastAsia="仿宋" w:cs="仿宋_GB2312"/>
                <w:b/>
                <w:color w:val="auto"/>
                <w:sz w:val="24"/>
                <w:highlight w:val="none"/>
              </w:rPr>
            </w:pPr>
            <w:r>
              <w:rPr>
                <w:rFonts w:hint="eastAsia" w:ascii="仿宋" w:hAnsi="仿宋" w:eastAsia="仿宋"/>
                <w:b/>
                <w:color w:val="auto"/>
                <w:sz w:val="24"/>
                <w:highlight w:val="none"/>
              </w:rPr>
              <w:t>代理费用</w:t>
            </w:r>
          </w:p>
        </w:tc>
        <w:tc>
          <w:tcPr>
            <w:tcW w:w="6562" w:type="dxa"/>
            <w:tcBorders>
              <w:top w:val="single" w:color="000000" w:sz="8" w:space="0"/>
              <w:left w:val="single" w:color="000000" w:sz="2" w:space="0"/>
              <w:bottom w:val="single" w:color="000000" w:sz="8" w:space="0"/>
              <w:right w:val="single" w:color="000000" w:sz="8" w:space="0"/>
            </w:tcBorders>
            <w:vAlign w:val="center"/>
          </w:tcPr>
          <w:p w14:paraId="4535A1AC">
            <w:pPr>
              <w:pStyle w:val="15"/>
              <w:spacing w:line="360" w:lineRule="auto"/>
              <w:ind w:firstLine="0"/>
              <w:rPr>
                <w:rFonts w:hAnsi="宋体" w:cs="宋体"/>
                <w:b/>
                <w:bCs/>
                <w:color w:val="auto"/>
                <w:sz w:val="24"/>
                <w:highlight w:val="none"/>
              </w:rPr>
            </w:pPr>
            <w:r>
              <w:rPr>
                <w:rFonts w:hint="eastAsia" w:ascii="仿宋" w:hAnsi="仿宋" w:eastAsia="仿宋" w:cs="仿宋_GB2312"/>
                <w:color w:val="auto"/>
                <w:sz w:val="24"/>
                <w:highlight w:val="none"/>
              </w:rPr>
              <w:t>代理服务费由交易发起人支付。</w:t>
            </w:r>
          </w:p>
        </w:tc>
      </w:tr>
      <w:tr w14:paraId="3E90F7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596" w:hRule="atLeast"/>
          <w:jc w:val="center"/>
        </w:trPr>
        <w:tc>
          <w:tcPr>
            <w:tcW w:w="629" w:type="dxa"/>
            <w:tcBorders>
              <w:top w:val="single" w:color="auto" w:sz="4" w:space="0"/>
              <w:left w:val="single" w:color="000000" w:sz="8" w:space="0"/>
              <w:bottom w:val="single" w:color="auto" w:sz="4" w:space="0"/>
              <w:right w:val="single" w:color="000000" w:sz="2" w:space="0"/>
            </w:tcBorders>
            <w:vAlign w:val="center"/>
          </w:tcPr>
          <w:p w14:paraId="17BFA0E2">
            <w:pPr>
              <w:snapToGrid w:val="0"/>
              <w:spacing w:line="360" w:lineRule="auto"/>
              <w:jc w:val="center"/>
              <w:rPr>
                <w:rFonts w:ascii="仿宋" w:hAnsi="仿宋" w:eastAsia="仿宋" w:cs="仿宋_GB2312"/>
                <w:color w:val="auto"/>
                <w:sz w:val="24"/>
                <w:highlight w:val="none"/>
              </w:rPr>
            </w:pPr>
            <w:r>
              <w:rPr>
                <w:rFonts w:hint="eastAsia" w:ascii="仿宋" w:hAnsi="仿宋" w:eastAsia="仿宋" w:cs="仿宋_GB2312"/>
                <w:color w:val="auto"/>
                <w:sz w:val="24"/>
                <w:highlight w:val="none"/>
              </w:rPr>
              <w:t>9</w:t>
            </w:r>
          </w:p>
        </w:tc>
        <w:tc>
          <w:tcPr>
            <w:tcW w:w="1559" w:type="dxa"/>
            <w:tcBorders>
              <w:top w:val="single" w:color="000000" w:sz="8" w:space="0"/>
              <w:left w:val="single" w:color="000000" w:sz="2" w:space="0"/>
              <w:bottom w:val="single" w:color="000000" w:sz="8" w:space="0"/>
              <w:right w:val="single" w:color="000000" w:sz="8" w:space="0"/>
            </w:tcBorders>
            <w:vAlign w:val="center"/>
          </w:tcPr>
          <w:p w14:paraId="3B54F818">
            <w:pPr>
              <w:spacing w:line="360" w:lineRule="auto"/>
              <w:jc w:val="center"/>
              <w:rPr>
                <w:rFonts w:ascii="仿宋" w:hAnsi="仿宋" w:eastAsia="仿宋"/>
                <w:b/>
                <w:color w:val="auto"/>
                <w:sz w:val="24"/>
                <w:highlight w:val="none"/>
              </w:rPr>
            </w:pPr>
            <w:r>
              <w:rPr>
                <w:rFonts w:hint="eastAsia" w:ascii="仿宋" w:hAnsi="仿宋" w:eastAsia="仿宋"/>
                <w:b/>
                <w:color w:val="auto"/>
                <w:sz w:val="24"/>
                <w:highlight w:val="none"/>
              </w:rPr>
              <w:t>响应保证金</w:t>
            </w:r>
          </w:p>
          <w:p w14:paraId="5F5616A6">
            <w:pPr>
              <w:spacing w:line="360" w:lineRule="auto"/>
              <w:jc w:val="center"/>
              <w:rPr>
                <w:rFonts w:ascii="仿宋" w:hAnsi="仿宋" w:eastAsia="仿宋" w:cs="仿宋_GB2312"/>
                <w:b/>
                <w:color w:val="auto"/>
                <w:sz w:val="24"/>
                <w:highlight w:val="none"/>
              </w:rPr>
            </w:pPr>
            <w:r>
              <w:rPr>
                <w:rFonts w:ascii="仿宋" w:hAnsi="仿宋" w:eastAsia="仿宋"/>
                <w:b/>
                <w:color w:val="auto"/>
                <w:sz w:val="24"/>
                <w:highlight w:val="none"/>
              </w:rPr>
              <w:t>履约保证金</w:t>
            </w:r>
          </w:p>
        </w:tc>
        <w:tc>
          <w:tcPr>
            <w:tcW w:w="6562" w:type="dxa"/>
            <w:tcBorders>
              <w:top w:val="single" w:color="000000" w:sz="8" w:space="0"/>
              <w:left w:val="single" w:color="000000" w:sz="2" w:space="0"/>
              <w:bottom w:val="single" w:color="000000" w:sz="8" w:space="0"/>
              <w:right w:val="single" w:color="000000" w:sz="8" w:space="0"/>
            </w:tcBorders>
            <w:vAlign w:val="center"/>
          </w:tcPr>
          <w:p w14:paraId="5EA63AB3">
            <w:pPr>
              <w:pStyle w:val="15"/>
              <w:spacing w:line="360" w:lineRule="auto"/>
              <w:ind w:firstLine="0"/>
              <w:jc w:val="left"/>
              <w:rPr>
                <w:rFonts w:ascii="仿宋" w:hAnsi="仿宋" w:eastAsia="仿宋" w:cs="仿宋_GB2312"/>
                <w:color w:val="auto"/>
                <w:sz w:val="24"/>
                <w:highlight w:val="none"/>
              </w:rPr>
            </w:pPr>
            <w:r>
              <w:rPr>
                <w:rFonts w:hint="eastAsia" w:ascii="仿宋" w:hAnsi="仿宋" w:eastAsia="仿宋" w:cs="仿宋_GB2312"/>
                <w:color w:val="auto"/>
                <w:sz w:val="24"/>
                <w:highlight w:val="none"/>
              </w:rPr>
              <w:t>响应保证金：不收取。</w:t>
            </w:r>
          </w:p>
          <w:p w14:paraId="587052EF">
            <w:pPr>
              <w:pStyle w:val="15"/>
              <w:spacing w:line="360" w:lineRule="auto"/>
              <w:ind w:firstLine="0"/>
              <w:jc w:val="left"/>
              <w:rPr>
                <w:rFonts w:ascii="仿宋" w:hAnsi="仿宋" w:eastAsia="仿宋" w:cs="仿宋_GB2312"/>
                <w:color w:val="auto"/>
                <w:sz w:val="24"/>
                <w:highlight w:val="none"/>
              </w:rPr>
            </w:pPr>
            <w:r>
              <w:rPr>
                <w:rFonts w:ascii="仿宋" w:hAnsi="仿宋" w:eastAsia="仿宋" w:cs="仿宋_GB2312"/>
                <w:color w:val="auto"/>
                <w:sz w:val="24"/>
                <w:highlight w:val="none"/>
              </w:rPr>
              <w:t>履约保证金</w:t>
            </w:r>
            <w:r>
              <w:rPr>
                <w:rFonts w:hint="eastAsia" w:ascii="仿宋" w:hAnsi="仿宋" w:eastAsia="仿宋" w:cs="仿宋_GB2312"/>
                <w:color w:val="auto"/>
                <w:sz w:val="24"/>
                <w:highlight w:val="none"/>
              </w:rPr>
              <w:t>：1%</w:t>
            </w:r>
          </w:p>
          <w:p w14:paraId="163129F1">
            <w:pPr>
              <w:pStyle w:val="15"/>
              <w:spacing w:line="360" w:lineRule="auto"/>
              <w:ind w:firstLine="0"/>
              <w:jc w:val="left"/>
              <w:rPr>
                <w:rFonts w:ascii="仿宋" w:hAnsi="仿宋" w:eastAsia="仿宋" w:cs="仿宋_GB2312"/>
                <w:color w:val="auto"/>
                <w:sz w:val="24"/>
                <w:highlight w:val="none"/>
              </w:rPr>
            </w:pPr>
            <w:r>
              <w:rPr>
                <w:rFonts w:hint="eastAsia" w:ascii="仿宋" w:hAnsi="仿宋" w:eastAsia="仿宋" w:cs="仿宋_GB2312"/>
                <w:color w:val="auto"/>
                <w:sz w:val="24"/>
                <w:highlight w:val="none"/>
              </w:rPr>
              <w:t>供应商应当以支票、汇票、银行保函等形式提交。</w:t>
            </w:r>
          </w:p>
        </w:tc>
      </w:tr>
      <w:tr w14:paraId="6DDA5D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28" w:hRule="atLeast"/>
          <w:jc w:val="center"/>
        </w:trPr>
        <w:tc>
          <w:tcPr>
            <w:tcW w:w="629" w:type="dxa"/>
            <w:tcBorders>
              <w:top w:val="single" w:color="auto" w:sz="4" w:space="0"/>
              <w:left w:val="single" w:color="000000" w:sz="8" w:space="0"/>
              <w:bottom w:val="single" w:color="auto" w:sz="4" w:space="0"/>
              <w:right w:val="single" w:color="000000" w:sz="2" w:space="0"/>
            </w:tcBorders>
            <w:vAlign w:val="center"/>
          </w:tcPr>
          <w:p w14:paraId="08C797B9">
            <w:pPr>
              <w:snapToGrid w:val="0"/>
              <w:spacing w:line="360" w:lineRule="auto"/>
              <w:jc w:val="center"/>
              <w:rPr>
                <w:rFonts w:ascii="仿宋" w:hAnsi="仿宋" w:eastAsia="仿宋" w:cs="仿宋_GB2312"/>
                <w:color w:val="auto"/>
                <w:sz w:val="24"/>
                <w:highlight w:val="none"/>
              </w:rPr>
            </w:pPr>
            <w:r>
              <w:rPr>
                <w:rFonts w:hint="eastAsia" w:ascii="仿宋" w:hAnsi="仿宋" w:eastAsia="仿宋" w:cs="仿宋_GB2312"/>
                <w:color w:val="auto"/>
                <w:sz w:val="24"/>
                <w:highlight w:val="none"/>
              </w:rPr>
              <w:t>10</w:t>
            </w:r>
          </w:p>
        </w:tc>
        <w:tc>
          <w:tcPr>
            <w:tcW w:w="1559" w:type="dxa"/>
            <w:tcBorders>
              <w:top w:val="single" w:color="000000" w:sz="8" w:space="0"/>
              <w:left w:val="single" w:color="000000" w:sz="2" w:space="0"/>
              <w:bottom w:val="single" w:color="000000" w:sz="8" w:space="0"/>
              <w:right w:val="single" w:color="000000" w:sz="8" w:space="0"/>
            </w:tcBorders>
            <w:vAlign w:val="center"/>
          </w:tcPr>
          <w:p w14:paraId="2970FBBD">
            <w:pPr>
              <w:spacing w:line="360" w:lineRule="auto"/>
              <w:jc w:val="center"/>
              <w:rPr>
                <w:rFonts w:ascii="仿宋" w:hAnsi="仿宋" w:eastAsia="仿宋" w:cs="仿宋_GB2312"/>
                <w:b/>
                <w:color w:val="auto"/>
                <w:sz w:val="24"/>
                <w:highlight w:val="none"/>
              </w:rPr>
            </w:pPr>
            <w:r>
              <w:rPr>
                <w:rFonts w:hint="eastAsia" w:ascii="仿宋" w:hAnsi="仿宋" w:eastAsia="仿宋"/>
                <w:b/>
                <w:color w:val="auto"/>
                <w:sz w:val="24"/>
                <w:highlight w:val="none"/>
              </w:rPr>
              <w:t>资格</w:t>
            </w:r>
            <w:r>
              <w:rPr>
                <w:rFonts w:ascii="仿宋" w:hAnsi="仿宋" w:eastAsia="仿宋"/>
                <w:b/>
                <w:color w:val="auto"/>
                <w:sz w:val="24"/>
                <w:highlight w:val="none"/>
              </w:rPr>
              <w:t>审查</w:t>
            </w:r>
            <w:r>
              <w:rPr>
                <w:rFonts w:hint="eastAsia" w:ascii="仿宋" w:hAnsi="仿宋" w:eastAsia="仿宋"/>
                <w:b/>
                <w:color w:val="auto"/>
                <w:sz w:val="24"/>
                <w:highlight w:val="none"/>
              </w:rPr>
              <w:t>及</w:t>
            </w:r>
            <w:r>
              <w:rPr>
                <w:rFonts w:ascii="仿宋" w:hAnsi="仿宋" w:eastAsia="仿宋"/>
                <w:b/>
                <w:color w:val="auto"/>
                <w:sz w:val="24"/>
                <w:highlight w:val="none"/>
              </w:rPr>
              <w:t>信用信息</w:t>
            </w:r>
            <w:r>
              <w:rPr>
                <w:rFonts w:hint="eastAsia" w:ascii="仿宋" w:hAnsi="仿宋" w:eastAsia="仿宋"/>
                <w:b/>
                <w:color w:val="auto"/>
                <w:sz w:val="24"/>
                <w:highlight w:val="none"/>
              </w:rPr>
              <w:t>查询</w:t>
            </w:r>
          </w:p>
        </w:tc>
        <w:tc>
          <w:tcPr>
            <w:tcW w:w="6562" w:type="dxa"/>
            <w:tcBorders>
              <w:top w:val="single" w:color="000000" w:sz="8" w:space="0"/>
              <w:left w:val="single" w:color="000000" w:sz="2" w:space="0"/>
              <w:bottom w:val="single" w:color="000000" w:sz="8" w:space="0"/>
              <w:right w:val="single" w:color="000000" w:sz="8" w:space="0"/>
            </w:tcBorders>
            <w:vAlign w:val="center"/>
          </w:tcPr>
          <w:p w14:paraId="5E6A1B91">
            <w:pPr>
              <w:pStyle w:val="15"/>
              <w:spacing w:line="360" w:lineRule="auto"/>
              <w:ind w:firstLine="0"/>
              <w:rPr>
                <w:rFonts w:ascii="仿宋" w:hAnsi="仿宋" w:eastAsia="仿宋" w:cs="仿宋_GB2312"/>
                <w:color w:val="auto"/>
                <w:sz w:val="24"/>
                <w:highlight w:val="none"/>
              </w:rPr>
            </w:pPr>
            <w:r>
              <w:rPr>
                <w:rFonts w:hint="eastAsia" w:ascii="仿宋" w:hAnsi="仿宋" w:eastAsia="仿宋" w:cs="仿宋_GB2312"/>
                <w:color w:val="auto"/>
                <w:sz w:val="24"/>
                <w:highlight w:val="none"/>
              </w:rPr>
              <w:t>本项目</w:t>
            </w:r>
            <w:r>
              <w:rPr>
                <w:rFonts w:ascii="仿宋" w:hAnsi="仿宋" w:eastAsia="仿宋" w:cs="仿宋_GB2312"/>
                <w:color w:val="auto"/>
                <w:sz w:val="24"/>
                <w:highlight w:val="none"/>
              </w:rPr>
              <w:t>由</w:t>
            </w:r>
            <w:r>
              <w:rPr>
                <w:rFonts w:hint="eastAsia" w:ascii="仿宋" w:hAnsi="仿宋" w:eastAsia="仿宋" w:cs="仿宋_GB2312"/>
                <w:color w:val="auto"/>
                <w:sz w:val="24"/>
                <w:highlight w:val="none"/>
              </w:rPr>
              <w:t>交易发起</w:t>
            </w:r>
            <w:r>
              <w:rPr>
                <w:rFonts w:ascii="仿宋" w:hAnsi="仿宋" w:eastAsia="仿宋" w:cs="仿宋_GB2312"/>
                <w:color w:val="auto"/>
                <w:sz w:val="24"/>
                <w:highlight w:val="none"/>
              </w:rPr>
              <w:t>人</w:t>
            </w:r>
            <w:r>
              <w:rPr>
                <w:rFonts w:hint="eastAsia" w:ascii="仿宋" w:hAnsi="仿宋" w:eastAsia="仿宋" w:cs="仿宋_GB2312"/>
                <w:color w:val="auto"/>
                <w:sz w:val="24"/>
                <w:highlight w:val="none"/>
              </w:rPr>
              <w:t>进行</w:t>
            </w:r>
            <w:r>
              <w:rPr>
                <w:rFonts w:ascii="仿宋" w:hAnsi="仿宋" w:eastAsia="仿宋" w:cs="仿宋_GB2312"/>
                <w:color w:val="auto"/>
                <w:sz w:val="24"/>
                <w:highlight w:val="none"/>
              </w:rPr>
              <w:t>资格文件</w:t>
            </w:r>
            <w:r>
              <w:rPr>
                <w:rFonts w:hint="eastAsia" w:ascii="仿宋" w:hAnsi="仿宋" w:eastAsia="仿宋" w:cs="仿宋_GB2312"/>
                <w:color w:val="auto"/>
                <w:sz w:val="24"/>
                <w:highlight w:val="none"/>
              </w:rPr>
              <w:t>及</w:t>
            </w:r>
            <w:r>
              <w:rPr>
                <w:rFonts w:ascii="仿宋" w:hAnsi="仿宋" w:eastAsia="仿宋" w:cs="仿宋_GB2312"/>
                <w:color w:val="auto"/>
                <w:sz w:val="24"/>
                <w:highlight w:val="none"/>
              </w:rPr>
              <w:t>信用信息</w:t>
            </w:r>
            <w:r>
              <w:rPr>
                <w:rFonts w:hint="eastAsia" w:ascii="仿宋" w:hAnsi="仿宋" w:eastAsia="仿宋" w:cs="仿宋_GB2312"/>
                <w:color w:val="auto"/>
                <w:sz w:val="24"/>
                <w:highlight w:val="none"/>
              </w:rPr>
              <w:t>查询</w:t>
            </w:r>
            <w:r>
              <w:rPr>
                <w:rFonts w:ascii="仿宋" w:hAnsi="仿宋" w:eastAsia="仿宋" w:cs="仿宋_GB2312"/>
                <w:color w:val="auto"/>
                <w:sz w:val="24"/>
                <w:highlight w:val="none"/>
              </w:rPr>
              <w:t>。</w:t>
            </w:r>
          </w:p>
        </w:tc>
      </w:tr>
      <w:tr w14:paraId="48F6CC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861" w:hRule="atLeast"/>
          <w:jc w:val="center"/>
        </w:trPr>
        <w:tc>
          <w:tcPr>
            <w:tcW w:w="629" w:type="dxa"/>
            <w:tcBorders>
              <w:top w:val="single" w:color="auto" w:sz="4" w:space="0"/>
              <w:left w:val="single" w:color="000000" w:sz="8" w:space="0"/>
              <w:bottom w:val="single" w:color="auto" w:sz="4" w:space="0"/>
              <w:right w:val="single" w:color="000000" w:sz="2" w:space="0"/>
            </w:tcBorders>
            <w:vAlign w:val="center"/>
          </w:tcPr>
          <w:p w14:paraId="507F524E">
            <w:pPr>
              <w:snapToGrid w:val="0"/>
              <w:spacing w:line="360" w:lineRule="auto"/>
              <w:jc w:val="center"/>
              <w:rPr>
                <w:rFonts w:ascii="仿宋" w:hAnsi="仿宋" w:eastAsia="仿宋" w:cs="仿宋_GB2312"/>
                <w:color w:val="auto"/>
                <w:sz w:val="24"/>
                <w:highlight w:val="none"/>
              </w:rPr>
            </w:pPr>
            <w:r>
              <w:rPr>
                <w:rFonts w:hint="eastAsia" w:ascii="仿宋" w:hAnsi="仿宋" w:eastAsia="仿宋" w:cs="仿宋_GB2312"/>
                <w:color w:val="auto"/>
                <w:sz w:val="24"/>
                <w:highlight w:val="none"/>
              </w:rPr>
              <w:t>11</w:t>
            </w:r>
          </w:p>
        </w:tc>
        <w:tc>
          <w:tcPr>
            <w:tcW w:w="1559" w:type="dxa"/>
            <w:tcBorders>
              <w:top w:val="single" w:color="000000" w:sz="8" w:space="0"/>
              <w:left w:val="single" w:color="000000" w:sz="2" w:space="0"/>
              <w:bottom w:val="single" w:color="000000" w:sz="8" w:space="0"/>
              <w:right w:val="single" w:color="000000" w:sz="8" w:space="0"/>
            </w:tcBorders>
            <w:vAlign w:val="center"/>
          </w:tcPr>
          <w:p w14:paraId="49F5E4EE">
            <w:pPr>
              <w:spacing w:line="360" w:lineRule="auto"/>
              <w:jc w:val="center"/>
              <w:rPr>
                <w:rFonts w:ascii="仿宋" w:hAnsi="仿宋" w:eastAsia="仿宋" w:cs="仿宋_GB2312"/>
                <w:b/>
                <w:color w:val="auto"/>
                <w:sz w:val="24"/>
                <w:highlight w:val="none"/>
              </w:rPr>
            </w:pPr>
            <w:r>
              <w:rPr>
                <w:rFonts w:hint="eastAsia" w:ascii="仿宋" w:hAnsi="仿宋" w:eastAsia="仿宋"/>
                <w:b/>
                <w:color w:val="auto"/>
                <w:sz w:val="24"/>
                <w:highlight w:val="none"/>
              </w:rPr>
              <w:t>项目采购类型</w:t>
            </w:r>
          </w:p>
        </w:tc>
        <w:tc>
          <w:tcPr>
            <w:tcW w:w="6562" w:type="dxa"/>
            <w:tcBorders>
              <w:top w:val="single" w:color="000000" w:sz="8" w:space="0"/>
              <w:left w:val="single" w:color="000000" w:sz="2" w:space="0"/>
              <w:bottom w:val="single" w:color="000000" w:sz="8" w:space="0"/>
              <w:right w:val="single" w:color="000000" w:sz="8" w:space="0"/>
            </w:tcBorders>
            <w:vAlign w:val="center"/>
          </w:tcPr>
          <w:p w14:paraId="012097D8">
            <w:pPr>
              <w:snapToGrid w:val="0"/>
              <w:spacing w:line="360" w:lineRule="auto"/>
              <w:rPr>
                <w:rFonts w:ascii="仿宋" w:hAnsi="仿宋" w:eastAsia="仿宋"/>
                <w:color w:val="auto"/>
                <w:sz w:val="24"/>
                <w:highlight w:val="none"/>
              </w:rPr>
            </w:pPr>
            <w:r>
              <w:rPr>
                <w:rFonts w:hint="eastAsia" w:ascii="仿宋" w:hAnsi="仿宋" w:eastAsia="仿宋"/>
                <w:color w:val="auto"/>
                <w:sz w:val="24"/>
                <w:highlight w:val="none"/>
              </w:rPr>
              <w:t>本项目为</w:t>
            </w:r>
            <w:r>
              <w:rPr>
                <w:rFonts w:hint="eastAsia" w:ascii="仿宋" w:hAnsi="仿宋" w:eastAsia="仿宋"/>
                <w:color w:val="auto"/>
                <w:sz w:val="24"/>
                <w:highlight w:val="none"/>
                <w:u w:val="single"/>
              </w:rPr>
              <w:t>服务类</w:t>
            </w:r>
            <w:r>
              <w:rPr>
                <w:rFonts w:hint="eastAsia" w:ascii="仿宋" w:hAnsi="仿宋" w:eastAsia="仿宋"/>
                <w:color w:val="auto"/>
                <w:sz w:val="24"/>
                <w:highlight w:val="none"/>
              </w:rPr>
              <w:t>采购项目</w:t>
            </w:r>
          </w:p>
        </w:tc>
      </w:tr>
      <w:tr w14:paraId="3AFF51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586" w:hRule="atLeast"/>
          <w:jc w:val="center"/>
        </w:trPr>
        <w:tc>
          <w:tcPr>
            <w:tcW w:w="629" w:type="dxa"/>
            <w:tcBorders>
              <w:top w:val="single" w:color="auto" w:sz="4" w:space="0"/>
              <w:left w:val="single" w:color="000000" w:sz="8" w:space="0"/>
              <w:bottom w:val="single" w:color="auto" w:sz="4" w:space="0"/>
              <w:right w:val="single" w:color="000000" w:sz="2" w:space="0"/>
            </w:tcBorders>
            <w:vAlign w:val="center"/>
          </w:tcPr>
          <w:p w14:paraId="73CB4900">
            <w:pPr>
              <w:snapToGrid w:val="0"/>
              <w:spacing w:line="360" w:lineRule="auto"/>
              <w:jc w:val="center"/>
              <w:rPr>
                <w:rFonts w:ascii="仿宋" w:hAnsi="仿宋" w:eastAsia="仿宋" w:cs="仿宋_GB2312"/>
                <w:color w:val="auto"/>
                <w:sz w:val="24"/>
                <w:highlight w:val="none"/>
              </w:rPr>
            </w:pPr>
            <w:r>
              <w:rPr>
                <w:rFonts w:hint="eastAsia" w:ascii="仿宋" w:hAnsi="仿宋" w:eastAsia="仿宋" w:cs="仿宋_GB2312"/>
                <w:color w:val="auto"/>
                <w:sz w:val="24"/>
                <w:highlight w:val="none"/>
              </w:rPr>
              <w:t>12</w:t>
            </w:r>
          </w:p>
        </w:tc>
        <w:tc>
          <w:tcPr>
            <w:tcW w:w="1559" w:type="dxa"/>
            <w:tcBorders>
              <w:top w:val="single" w:color="000000" w:sz="8" w:space="0"/>
              <w:left w:val="single" w:color="000000" w:sz="2" w:space="0"/>
              <w:bottom w:val="single" w:color="000000" w:sz="8" w:space="0"/>
              <w:right w:val="single" w:color="000000" w:sz="8" w:space="0"/>
            </w:tcBorders>
            <w:vAlign w:val="center"/>
          </w:tcPr>
          <w:p w14:paraId="345426A0">
            <w:pPr>
              <w:spacing w:line="360" w:lineRule="auto"/>
              <w:jc w:val="center"/>
              <w:rPr>
                <w:rFonts w:ascii="仿宋" w:hAnsi="仿宋" w:eastAsia="仿宋"/>
                <w:b/>
                <w:color w:val="auto"/>
                <w:sz w:val="24"/>
                <w:highlight w:val="none"/>
              </w:rPr>
            </w:pPr>
            <w:r>
              <w:rPr>
                <w:rFonts w:hint="eastAsia" w:ascii="仿宋" w:hAnsi="仿宋" w:eastAsia="仿宋"/>
                <w:b/>
                <w:color w:val="auto"/>
                <w:sz w:val="24"/>
                <w:highlight w:val="none"/>
              </w:rPr>
              <w:t>评审方法</w:t>
            </w:r>
          </w:p>
        </w:tc>
        <w:tc>
          <w:tcPr>
            <w:tcW w:w="6562" w:type="dxa"/>
            <w:tcBorders>
              <w:top w:val="single" w:color="000000" w:sz="8" w:space="0"/>
              <w:left w:val="single" w:color="000000" w:sz="2" w:space="0"/>
              <w:bottom w:val="single" w:color="000000" w:sz="8" w:space="0"/>
              <w:right w:val="single" w:color="000000" w:sz="8" w:space="0"/>
            </w:tcBorders>
            <w:vAlign w:val="center"/>
          </w:tcPr>
          <w:p w14:paraId="3BE32A40">
            <w:pPr>
              <w:snapToGrid w:val="0"/>
              <w:spacing w:line="360" w:lineRule="auto"/>
              <w:rPr>
                <w:rFonts w:ascii="仿宋" w:hAnsi="仿宋" w:eastAsia="仿宋"/>
                <w:color w:val="auto"/>
                <w:sz w:val="24"/>
                <w:highlight w:val="none"/>
              </w:rPr>
            </w:pPr>
            <w:r>
              <w:rPr>
                <w:rFonts w:hint="eastAsia" w:ascii="仿宋" w:hAnsi="仿宋" w:eastAsia="仿宋"/>
                <w:color w:val="auto"/>
                <w:sz w:val="24"/>
                <w:highlight w:val="none"/>
                <w:u w:val="single"/>
              </w:rPr>
              <w:t>标项一</w:t>
            </w:r>
            <w:r>
              <w:rPr>
                <w:rFonts w:hint="eastAsia" w:ascii="仿宋" w:hAnsi="仿宋" w:eastAsia="仿宋"/>
                <w:color w:val="auto"/>
                <w:sz w:val="24"/>
                <w:highlight w:val="none"/>
              </w:rPr>
              <w:t>为</w:t>
            </w:r>
            <w:r>
              <w:rPr>
                <w:rFonts w:hint="eastAsia" w:ascii="仿宋" w:hAnsi="仿宋" w:eastAsia="仿宋"/>
                <w:color w:val="auto"/>
                <w:sz w:val="24"/>
                <w:highlight w:val="none"/>
                <w:u w:val="single"/>
              </w:rPr>
              <w:t>综合评估法</w:t>
            </w:r>
            <w:r>
              <w:rPr>
                <w:rFonts w:hint="eastAsia" w:ascii="仿宋" w:hAnsi="仿宋" w:eastAsia="仿宋"/>
                <w:color w:val="auto"/>
                <w:sz w:val="24"/>
                <w:highlight w:val="none"/>
              </w:rPr>
              <w:t>采购项目</w:t>
            </w:r>
          </w:p>
        </w:tc>
      </w:tr>
    </w:tbl>
    <w:p w14:paraId="4BB4FA86">
      <w:pPr>
        <w:rPr>
          <w:rFonts w:ascii="仿宋" w:hAnsi="仿宋" w:eastAsia="仿宋" w:cs="仿宋"/>
          <w:color w:val="auto"/>
          <w:highlight w:val="none"/>
        </w:rPr>
      </w:pPr>
      <w:r>
        <w:rPr>
          <w:rFonts w:hint="eastAsia" w:ascii="仿宋" w:hAnsi="仿宋" w:eastAsia="仿宋"/>
          <w:b/>
          <w:color w:val="auto"/>
          <w:sz w:val="24"/>
          <w:highlight w:val="none"/>
        </w:rPr>
        <w:t>注</w:t>
      </w:r>
      <w:r>
        <w:rPr>
          <w:rFonts w:ascii="仿宋" w:hAnsi="仿宋" w:eastAsia="仿宋"/>
          <w:b/>
          <w:color w:val="auto"/>
          <w:sz w:val="24"/>
          <w:highlight w:val="none"/>
        </w:rPr>
        <w:t>：</w:t>
      </w:r>
      <w:r>
        <w:rPr>
          <w:rFonts w:hint="eastAsia" w:ascii="仿宋" w:hAnsi="仿宋" w:eastAsia="仿宋"/>
          <w:b/>
          <w:color w:val="auto"/>
          <w:sz w:val="24"/>
          <w:highlight w:val="none"/>
        </w:rPr>
        <w:t>本项目</w:t>
      </w:r>
      <w:r>
        <w:rPr>
          <w:rFonts w:ascii="仿宋" w:hAnsi="仿宋" w:eastAsia="仿宋"/>
          <w:b/>
          <w:color w:val="auto"/>
          <w:sz w:val="24"/>
          <w:highlight w:val="none"/>
        </w:rPr>
        <w:t>通用</w:t>
      </w:r>
      <w:r>
        <w:rPr>
          <w:rFonts w:hint="eastAsia" w:ascii="仿宋" w:hAnsi="仿宋" w:eastAsia="仿宋"/>
          <w:b/>
          <w:color w:val="auto"/>
          <w:sz w:val="24"/>
          <w:highlight w:val="none"/>
        </w:rPr>
        <w:t>总则</w:t>
      </w:r>
      <w:r>
        <w:rPr>
          <w:rFonts w:ascii="仿宋" w:hAnsi="仿宋" w:eastAsia="仿宋"/>
          <w:b/>
          <w:color w:val="auto"/>
          <w:sz w:val="24"/>
          <w:highlight w:val="none"/>
        </w:rPr>
        <w:t>条款与前附表等专</w:t>
      </w:r>
      <w:r>
        <w:rPr>
          <w:rFonts w:hint="eastAsia" w:ascii="仿宋" w:hAnsi="仿宋" w:eastAsia="仿宋"/>
          <w:b/>
          <w:color w:val="auto"/>
          <w:sz w:val="24"/>
          <w:highlight w:val="none"/>
        </w:rPr>
        <w:t>用</w:t>
      </w:r>
      <w:r>
        <w:rPr>
          <w:rFonts w:ascii="仿宋" w:hAnsi="仿宋" w:eastAsia="仿宋"/>
          <w:b/>
          <w:color w:val="auto"/>
          <w:sz w:val="24"/>
          <w:highlight w:val="none"/>
        </w:rPr>
        <w:t>特别规定有冲突之处，以专用条款（</w:t>
      </w:r>
      <w:r>
        <w:rPr>
          <w:rFonts w:hint="eastAsia" w:ascii="仿宋" w:hAnsi="仿宋" w:eastAsia="仿宋"/>
          <w:b/>
          <w:color w:val="auto"/>
          <w:sz w:val="24"/>
          <w:highlight w:val="none"/>
        </w:rPr>
        <w:t>特别规定</w:t>
      </w:r>
      <w:r>
        <w:rPr>
          <w:rFonts w:ascii="仿宋" w:hAnsi="仿宋" w:eastAsia="仿宋"/>
          <w:b/>
          <w:color w:val="auto"/>
          <w:sz w:val="24"/>
          <w:highlight w:val="none"/>
        </w:rPr>
        <w:t>）</w:t>
      </w:r>
      <w:r>
        <w:rPr>
          <w:rFonts w:hint="eastAsia" w:ascii="仿宋" w:hAnsi="仿宋" w:eastAsia="仿宋"/>
          <w:b/>
          <w:color w:val="auto"/>
          <w:sz w:val="24"/>
          <w:highlight w:val="none"/>
        </w:rPr>
        <w:t>为准</w:t>
      </w:r>
    </w:p>
    <w:p w14:paraId="483547E5">
      <w:pPr>
        <w:rPr>
          <w:rFonts w:ascii="仿宋" w:hAnsi="仿宋" w:eastAsia="仿宋" w:cs="仿宋"/>
          <w:color w:val="auto"/>
          <w:highlight w:val="none"/>
        </w:rPr>
      </w:pPr>
    </w:p>
    <w:p w14:paraId="5C464F97">
      <w:pPr>
        <w:adjustRightInd/>
        <w:spacing w:line="360" w:lineRule="auto"/>
        <w:ind w:firstLine="3845" w:firstLineChars="1197"/>
        <w:outlineLvl w:val="0"/>
        <w:rPr>
          <w:rFonts w:ascii="仿宋" w:hAnsi="仿宋" w:eastAsia="仿宋" w:cs="仿宋"/>
          <w:b/>
          <w:color w:val="auto"/>
          <w:sz w:val="32"/>
          <w:szCs w:val="20"/>
          <w:highlight w:val="none"/>
        </w:rPr>
      </w:pPr>
    </w:p>
    <w:p w14:paraId="5FDBC13B">
      <w:pPr>
        <w:adjustRightInd/>
        <w:spacing w:line="360" w:lineRule="auto"/>
        <w:ind w:firstLine="3845" w:firstLineChars="1197"/>
        <w:outlineLvl w:val="0"/>
        <w:rPr>
          <w:rFonts w:ascii="仿宋" w:hAnsi="仿宋" w:eastAsia="仿宋" w:cs="仿宋"/>
          <w:b/>
          <w:color w:val="auto"/>
          <w:sz w:val="32"/>
          <w:szCs w:val="20"/>
          <w:highlight w:val="none"/>
        </w:rPr>
      </w:pPr>
    </w:p>
    <w:p w14:paraId="72AF7958">
      <w:pPr>
        <w:pStyle w:val="60"/>
        <w:ind w:firstLine="643"/>
        <w:rPr>
          <w:rFonts w:ascii="仿宋" w:hAnsi="仿宋" w:eastAsia="仿宋" w:cs="仿宋"/>
          <w:b/>
          <w:color w:val="auto"/>
          <w:sz w:val="32"/>
          <w:szCs w:val="20"/>
          <w:highlight w:val="none"/>
        </w:rPr>
      </w:pPr>
    </w:p>
    <w:p w14:paraId="11367E76">
      <w:pPr>
        <w:adjustRightInd/>
        <w:spacing w:line="360" w:lineRule="auto"/>
        <w:outlineLvl w:val="0"/>
        <w:rPr>
          <w:rFonts w:ascii="仿宋" w:hAnsi="仿宋" w:eastAsia="仿宋" w:cs="仿宋"/>
          <w:b/>
          <w:color w:val="auto"/>
          <w:sz w:val="32"/>
          <w:szCs w:val="20"/>
          <w:highlight w:val="none"/>
        </w:rPr>
      </w:pPr>
    </w:p>
    <w:p w14:paraId="5880D9B2">
      <w:pPr>
        <w:adjustRightInd/>
        <w:spacing w:line="360" w:lineRule="auto"/>
        <w:outlineLvl w:val="0"/>
        <w:rPr>
          <w:rFonts w:ascii="仿宋" w:hAnsi="仿宋" w:eastAsia="仿宋" w:cs="仿宋"/>
          <w:b/>
          <w:color w:val="auto"/>
          <w:sz w:val="32"/>
          <w:szCs w:val="20"/>
          <w:highlight w:val="none"/>
        </w:rPr>
      </w:pPr>
    </w:p>
    <w:p w14:paraId="1A429317">
      <w:pPr>
        <w:adjustRightInd/>
        <w:spacing w:line="360" w:lineRule="auto"/>
        <w:jc w:val="center"/>
        <w:outlineLvl w:val="0"/>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t>一、总则</w:t>
      </w:r>
    </w:p>
    <w:p w14:paraId="5B560599">
      <w:pPr>
        <w:snapToGrid w:val="0"/>
        <w:spacing w:line="360" w:lineRule="auto"/>
        <w:ind w:firstLine="361" w:firstLineChars="150"/>
        <w:jc w:val="left"/>
        <w:outlineLvl w:val="1"/>
        <w:rPr>
          <w:rFonts w:ascii="仿宋" w:hAnsi="仿宋" w:eastAsia="仿宋" w:cs="仿宋"/>
          <w:b/>
          <w:color w:val="auto"/>
          <w:sz w:val="24"/>
          <w:highlight w:val="none"/>
        </w:rPr>
      </w:pPr>
      <w:r>
        <w:rPr>
          <w:rFonts w:hint="eastAsia" w:ascii="仿宋" w:hAnsi="仿宋" w:eastAsia="仿宋" w:cs="仿宋"/>
          <w:b/>
          <w:color w:val="auto"/>
          <w:sz w:val="24"/>
          <w:highlight w:val="none"/>
        </w:rPr>
        <w:t>1. 适用范围</w:t>
      </w:r>
    </w:p>
    <w:p w14:paraId="651FB753">
      <w:pPr>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本交易文件适用于该项目的响应、交易、资格审查及信用信息查询、评标、定标、合同、验收等行为（法律、法规另有规定的，从其规定）。</w:t>
      </w:r>
    </w:p>
    <w:p w14:paraId="38D713DF">
      <w:pPr>
        <w:adjustRightInd/>
        <w:spacing w:line="360" w:lineRule="auto"/>
        <w:outlineLvl w:val="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   2.定义</w:t>
      </w:r>
    </w:p>
    <w:p w14:paraId="2698C393">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 “交易发起人”系指交易公告中载明的本项目的交易发起人。</w:t>
      </w:r>
    </w:p>
    <w:p w14:paraId="0C21A9B1">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 “采购机构”系指交易公告中载明的本项目的采购机构。</w:t>
      </w:r>
    </w:p>
    <w:p w14:paraId="5D3F02FB">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2.3 “供应商”系指是指响应交易、参加交易竞争的法人、其他组织或者自然人。</w:t>
      </w:r>
    </w:p>
    <w:p w14:paraId="4C97F0B3">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2.4 “负责人”系指法人企业的法定负责人，或其他组织为法律、行政法规规定代表单位行使职权的主要负责人，或自然人本人。</w:t>
      </w:r>
    </w:p>
    <w:p w14:paraId="38FDA6BF">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2.5“电子签名”系指数据电文中以电子形式所含、所附用于识别签名人身份并表明签名人认可其中内容的数据，供应商电子签名指供应商电子公章；“公章”系指单位法定名称章。因特殊原因需要使用冠以法定名称的业务专用章的，投标时须提供《业务专用章使用说明函》（附件4）。</w:t>
      </w:r>
    </w:p>
    <w:p w14:paraId="055824AF">
      <w:pP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2.6“电子交易平台”是指本项目采购活动所依托的乐采云平台（https://www.</w:t>
      </w:r>
      <w:r>
        <w:rPr>
          <w:rFonts w:hint="eastAsia" w:ascii="仿宋" w:hAnsi="仿宋" w:eastAsia="仿宋" w:cs="仿宋"/>
          <w:color w:val="auto"/>
          <w:sz w:val="24"/>
          <w:highlight w:val="none"/>
          <w:lang w:val="en-US" w:eastAsia="zh-CN"/>
        </w:rPr>
        <w:t>lecaiyun.com</w:t>
      </w:r>
      <w:r>
        <w:rPr>
          <w:rFonts w:hint="eastAsia" w:ascii="仿宋" w:hAnsi="仿宋" w:eastAsia="仿宋" w:cs="仿宋"/>
          <w:color w:val="auto"/>
          <w:sz w:val="24"/>
          <w:highlight w:val="none"/>
        </w:rPr>
        <w:t>）。</w:t>
      </w:r>
    </w:p>
    <w:p w14:paraId="03F668D1">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2.7 “▲” 系指实质性要求条款，“（</w:t>
      </w:r>
      <w:r>
        <w:rPr>
          <w:rFonts w:hint="eastAsia" w:ascii="仿宋" w:hAnsi="仿宋" w:eastAsia="仿宋" w:cs="仿宋"/>
          <w:bCs/>
          <w:color w:val="auto"/>
          <w:sz w:val="24"/>
          <w:highlight w:val="none"/>
        </w:rPr>
        <w:t>√</w:t>
      </w:r>
      <w:r>
        <w:rPr>
          <w:rFonts w:hint="eastAsia" w:ascii="仿宋" w:hAnsi="仿宋" w:eastAsia="仿宋" w:cs="仿宋"/>
          <w:color w:val="auto"/>
          <w:sz w:val="24"/>
          <w:highlight w:val="none"/>
        </w:rPr>
        <w:t>）” 系指适用本项目的要求，“（  ）”系指不适用本项目的要求。</w:t>
      </w:r>
    </w:p>
    <w:p w14:paraId="26681314">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3.</w:t>
      </w:r>
      <w:r>
        <w:rPr>
          <w:rFonts w:hint="eastAsia" w:ascii="仿宋" w:hAnsi="仿宋" w:eastAsia="仿宋" w:cs="仿宋"/>
          <w:color w:val="auto"/>
          <w:highlight w:val="none"/>
        </w:rPr>
        <w:t xml:space="preserve"> </w:t>
      </w:r>
      <w:r>
        <w:rPr>
          <w:rFonts w:hint="eastAsia" w:ascii="仿宋" w:hAnsi="仿宋" w:eastAsia="仿宋" w:cs="仿宋"/>
          <w:b/>
          <w:color w:val="auto"/>
          <w:sz w:val="24"/>
          <w:highlight w:val="none"/>
        </w:rPr>
        <w:t xml:space="preserve"> 询问、质疑、投诉</w:t>
      </w:r>
    </w:p>
    <w:p w14:paraId="38A01077">
      <w:pPr>
        <w:autoSpaceDE w:val="0"/>
        <w:autoSpaceDN w:val="0"/>
        <w:spacing w:line="360" w:lineRule="auto"/>
        <w:ind w:firstLine="240" w:firstLineChars="1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.1供应商询问</w:t>
      </w:r>
    </w:p>
    <w:p w14:paraId="589A3A59">
      <w:pPr>
        <w:autoSpaceDE w:val="0"/>
        <w:autoSpaceDN w:val="0"/>
        <w:spacing w:line="360"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供应商对采购活动事项有疑问的，可以提出询问，交易发起人或者采购代理机构应当在3个工作日内对供应商依法提出的询问作出答复，但答复的内容不得涉及商业秘密。供应商提出的询问超出交易发起人对采购代理机构委托授权范围的，采购代理机构应当告知供应商向交易发起人提出。</w:t>
      </w:r>
    </w:p>
    <w:p w14:paraId="562507A4">
      <w:pPr>
        <w:autoSpaceDE w:val="0"/>
        <w:autoSpaceDN w:val="0"/>
        <w:spacing w:line="360" w:lineRule="auto"/>
        <w:ind w:firstLine="240" w:firstLineChars="1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.2供应商质疑</w:t>
      </w:r>
    </w:p>
    <w:p w14:paraId="1493FCB3">
      <w:pPr>
        <w:pStyle w:val="32"/>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w:t>
      </w:r>
      <w:r>
        <w:rPr>
          <w:rFonts w:hint="eastAsia" w:ascii="仿宋" w:hAnsi="仿宋" w:eastAsia="仿宋" w:cs="仿宋"/>
          <w:color w:val="auto"/>
          <w:sz w:val="24"/>
          <w:highlight w:val="none"/>
        </w:rPr>
        <w:t>.1提出质疑的供应商应当是参与所质疑项目采购活动的供应商。潜在供应商已依法获取其可质疑的交易文件的，可以对该文件提出质疑。</w:t>
      </w:r>
    </w:p>
    <w:p w14:paraId="3DF0058F">
      <w:pPr>
        <w:pStyle w:val="32"/>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w:t>
      </w:r>
      <w:r>
        <w:rPr>
          <w:rFonts w:hint="eastAsia" w:ascii="仿宋" w:hAnsi="仿宋" w:eastAsia="仿宋" w:cs="仿宋"/>
          <w:color w:val="auto"/>
          <w:sz w:val="24"/>
          <w:highlight w:val="none"/>
        </w:rPr>
        <w:t>.2供应商认为交易文件、采购过程和成交结果使自己的权益受到损害的，可以在知道或者应知其权益受到损害之日起七个工作日内，以书面形式向交易发起人或者采购机构提出质疑，否则，交易发起人或者采购机构不予受理：</w:t>
      </w:r>
    </w:p>
    <w:p w14:paraId="456F4C0E">
      <w:pPr>
        <w:pStyle w:val="15"/>
        <w:spacing w:line="360" w:lineRule="auto"/>
        <w:ind w:firstLine="480" w:firstLineChars="200"/>
        <w:rPr>
          <w:rFonts w:ascii="仿宋" w:hAnsi="仿宋" w:eastAsia="仿宋" w:cs="仿宋"/>
          <w:color w:val="auto"/>
          <w:kern w:val="2"/>
          <w:sz w:val="24"/>
          <w:highlight w:val="none"/>
        </w:rPr>
      </w:pPr>
      <w:r>
        <w:rPr>
          <w:rFonts w:hint="eastAsia" w:ascii="仿宋" w:hAnsi="仿宋" w:eastAsia="仿宋" w:cs="仿宋"/>
          <w:color w:val="auto"/>
          <w:kern w:val="2"/>
          <w:sz w:val="24"/>
          <w:highlight w:val="none"/>
        </w:rPr>
        <w:t>3.2.2.1对交易文件提出质疑的，质疑期限为供应商获得交易文件之日或者交易文件公告期限届满之日起计算。</w:t>
      </w:r>
    </w:p>
    <w:p w14:paraId="54EC6F7D">
      <w:pPr>
        <w:pStyle w:val="32"/>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3.2.2.2对交易过程提出质疑的，质疑期限为各采购程序环节结束之日起计算。对同一采购程序环节的质疑，供应商须一次性提出。</w:t>
      </w:r>
    </w:p>
    <w:p w14:paraId="6BBBC993">
      <w:pPr>
        <w:pStyle w:val="32"/>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3.2.2.3对采购结果提出质疑的，质疑期限自采购结果公告期限届满之日起计算。</w:t>
      </w:r>
    </w:p>
    <w:p w14:paraId="72E3321C">
      <w:pPr>
        <w:pStyle w:val="32"/>
        <w:spacing w:line="360" w:lineRule="auto"/>
        <w:ind w:firstLine="480" w:firstLineChars="2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.2.3</w:t>
      </w:r>
      <w:r>
        <w:rPr>
          <w:rFonts w:hint="eastAsia" w:ascii="仿宋" w:hAnsi="仿宋" w:eastAsia="仿宋" w:cs="仿宋"/>
          <w:color w:val="auto"/>
          <w:sz w:val="24"/>
          <w:highlight w:val="none"/>
        </w:rPr>
        <w:t>供应商提出质疑应当提交质疑函和必要的证明材料。质疑函应当包括下列内容：</w:t>
      </w:r>
    </w:p>
    <w:p w14:paraId="2E5A90AB">
      <w:pPr>
        <w:pStyle w:val="32"/>
        <w:spacing w:line="360" w:lineRule="auto"/>
        <w:ind w:firstLine="480" w:firstLineChars="2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w:t>
      </w: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.2.3.1供应商的姓名或者名称、地址、邮编、联系人及联系电话；</w:t>
      </w:r>
    </w:p>
    <w:p w14:paraId="3562E88C">
      <w:pPr>
        <w:pStyle w:val="32"/>
        <w:spacing w:line="360" w:lineRule="auto"/>
        <w:ind w:firstLine="480" w:firstLineChars="2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w:t>
      </w: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.2.3.2质疑项目的名称、编号；</w:t>
      </w:r>
    </w:p>
    <w:p w14:paraId="36CCB298">
      <w:pPr>
        <w:pStyle w:val="32"/>
        <w:spacing w:line="360" w:lineRule="auto"/>
        <w:ind w:firstLine="480" w:firstLineChars="2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w:t>
      </w: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.2.3.3具体、明确的质疑事项和与质疑事项相关的请求；</w:t>
      </w:r>
    </w:p>
    <w:p w14:paraId="232E1C80">
      <w:pPr>
        <w:pStyle w:val="32"/>
        <w:spacing w:line="360" w:lineRule="auto"/>
        <w:ind w:firstLine="480" w:firstLineChars="2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w:t>
      </w: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.2.3.4事实依据；</w:t>
      </w:r>
    </w:p>
    <w:p w14:paraId="254E7A29">
      <w:pPr>
        <w:pStyle w:val="32"/>
        <w:spacing w:line="360" w:lineRule="auto"/>
        <w:ind w:firstLine="480" w:firstLineChars="2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w:t>
      </w: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.2.3.5必要的法律依据；</w:t>
      </w:r>
    </w:p>
    <w:p w14:paraId="1C4113C8">
      <w:pPr>
        <w:pStyle w:val="32"/>
        <w:spacing w:line="360" w:lineRule="auto"/>
        <w:ind w:firstLine="960" w:firstLineChars="4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zh-CN"/>
        </w:rPr>
        <w:t>.2.3.6提出质疑的日期。</w:t>
      </w:r>
    </w:p>
    <w:p w14:paraId="2EA386C9">
      <w:pPr>
        <w:pStyle w:val="616"/>
        <w:shd w:val="clear" w:color="auto" w:fill="FFFFFF"/>
        <w:snapToGrid w:val="0"/>
        <w:spacing w:after="240" w:afterAutospacing="0" w:line="360" w:lineRule="auto"/>
        <w:ind w:firstLine="400"/>
        <w:contextualSpacing/>
        <w:rPr>
          <w:rFonts w:ascii="仿宋" w:hAnsi="仿宋" w:eastAsia="仿宋" w:cs="仿宋"/>
          <w:color w:val="auto"/>
          <w:highlight w:val="none"/>
        </w:rPr>
      </w:pPr>
      <w:r>
        <w:rPr>
          <w:rFonts w:hint="eastAsia" w:ascii="仿宋" w:hAnsi="仿宋" w:eastAsia="仿宋" w:cs="仿宋"/>
          <w:color w:val="auto"/>
          <w:highlight w:val="none"/>
        </w:rPr>
        <w:t>供应商提交的质疑函需一式三份。供应商为自然人的，应当由本人签字；供应商为法人或者其他组织的，应当由法定代表人、主要负责人，或者其授权代表签字或者盖章，并加盖公章。</w:t>
      </w:r>
    </w:p>
    <w:p w14:paraId="56138246">
      <w:pPr>
        <w:pStyle w:val="616"/>
        <w:shd w:val="clear" w:color="auto" w:fill="FFFFFF"/>
        <w:snapToGrid w:val="0"/>
        <w:spacing w:after="240" w:afterAutospacing="0" w:line="360" w:lineRule="auto"/>
        <w:ind w:firstLine="400"/>
        <w:contextualSpacing/>
        <w:rPr>
          <w:rFonts w:ascii="仿宋" w:hAnsi="仿宋" w:eastAsia="仿宋" w:cs="仿宋"/>
          <w:color w:val="auto"/>
          <w:highlight w:val="none"/>
        </w:rPr>
      </w:pPr>
      <w:r>
        <w:rPr>
          <w:rFonts w:hint="eastAsia" w:ascii="仿宋" w:hAnsi="仿宋" w:eastAsia="仿宋" w:cs="仿宋"/>
          <w:color w:val="auto"/>
          <w:highlight w:val="none"/>
        </w:rPr>
        <w:t>质疑函范本及制作说明详见附件2。</w:t>
      </w:r>
    </w:p>
    <w:p w14:paraId="1CA7530F">
      <w:pPr>
        <w:pStyle w:val="616"/>
        <w:shd w:val="clear" w:color="auto" w:fill="FFFFFF"/>
        <w:snapToGrid w:val="0"/>
        <w:spacing w:after="240" w:afterAutospacing="0" w:line="360" w:lineRule="auto"/>
        <w:ind w:firstLine="400"/>
        <w:contextualSpacing/>
        <w:rPr>
          <w:rFonts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zh-CN"/>
        </w:rPr>
        <w:t>.2</w:t>
      </w:r>
      <w:r>
        <w:rPr>
          <w:rFonts w:hint="eastAsia" w:ascii="仿宋" w:hAnsi="仿宋" w:eastAsia="仿宋" w:cs="仿宋"/>
          <w:color w:val="auto"/>
          <w:highlight w:val="none"/>
        </w:rPr>
        <w:t>.4交易发起人或者采购机构应当在收到供应商的书面质疑后七个工作日内作出答复，并以书面形式通知质疑供应商和其他与质疑处理结果有利害关系的采购当事人，但答复的内容不得涉及商业秘密。</w:t>
      </w:r>
    </w:p>
    <w:p w14:paraId="471719AD">
      <w:pPr>
        <w:pStyle w:val="616"/>
        <w:shd w:val="clear" w:color="auto" w:fill="FFFFFF"/>
        <w:snapToGrid w:val="0"/>
        <w:spacing w:after="240" w:afterAutospacing="0" w:line="360" w:lineRule="auto"/>
        <w:ind w:firstLine="400"/>
        <w:contextualSpacing/>
        <w:rPr>
          <w:rFonts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zh-CN"/>
        </w:rPr>
        <w:t>.2</w:t>
      </w:r>
      <w:r>
        <w:rPr>
          <w:rFonts w:hint="eastAsia" w:ascii="仿宋" w:hAnsi="仿宋" w:eastAsia="仿宋" w:cs="仿宋"/>
          <w:color w:val="auto"/>
          <w:highlight w:val="none"/>
        </w:rPr>
        <w:t>.5询问或者质疑事项可能影响采购结果的，交易发起人应当暂停签订合同，已经签订合同的，应当中止履行合同。</w:t>
      </w:r>
    </w:p>
    <w:p w14:paraId="2DD4D303">
      <w:pPr>
        <w:pStyle w:val="616"/>
        <w:shd w:val="clear" w:color="auto" w:fill="FFFFFF"/>
        <w:snapToGrid w:val="0"/>
        <w:spacing w:after="240" w:afterAutospacing="0" w:line="360" w:lineRule="auto"/>
        <w:ind w:firstLine="480" w:firstLineChars="200"/>
        <w:contextualSpacing/>
        <w:rPr>
          <w:rFonts w:ascii="仿宋" w:hAnsi="仿宋" w:eastAsia="仿宋" w:cs="仿宋"/>
          <w:color w:val="auto"/>
          <w:highlight w:val="none"/>
          <w:lang w:val="zh-CN"/>
        </w:rPr>
      </w:pPr>
      <w:r>
        <w:rPr>
          <w:rFonts w:hint="eastAsia" w:ascii="仿宋" w:hAnsi="仿宋" w:eastAsia="仿宋" w:cs="仿宋"/>
          <w:color w:val="auto"/>
          <w:highlight w:val="none"/>
        </w:rPr>
        <w:t>3</w:t>
      </w:r>
      <w:r>
        <w:rPr>
          <w:rFonts w:hint="eastAsia" w:ascii="仿宋" w:hAnsi="仿宋" w:eastAsia="仿宋" w:cs="仿宋"/>
          <w:color w:val="auto"/>
          <w:highlight w:val="none"/>
          <w:lang w:val="zh-CN"/>
        </w:rPr>
        <w:t>.3供应商投诉</w:t>
      </w:r>
    </w:p>
    <w:p w14:paraId="74EB6F8A">
      <w:pPr>
        <w:pStyle w:val="616"/>
        <w:shd w:val="clear" w:color="auto" w:fill="FFFFFF"/>
        <w:snapToGrid w:val="0"/>
        <w:spacing w:after="240" w:afterAutospacing="0" w:line="360" w:lineRule="auto"/>
        <w:ind w:firstLine="400"/>
        <w:contextualSpacing/>
        <w:rPr>
          <w:rFonts w:ascii="仿宋" w:hAnsi="仿宋" w:eastAsia="仿宋" w:cs="仿宋"/>
          <w:color w:val="auto"/>
          <w:highlight w:val="none"/>
        </w:rPr>
      </w:pPr>
      <w:r>
        <w:rPr>
          <w:rFonts w:hint="eastAsia" w:ascii="仿宋" w:hAnsi="仿宋" w:eastAsia="仿宋" w:cs="仿宋"/>
          <w:color w:val="auto"/>
          <w:highlight w:val="none"/>
        </w:rPr>
        <w:t>3.3.1质疑供应商对交易发起人、采购机构的答复不满意或者交易发起人、采购机构未在规定的时间内作出答复的，可以在答复期满后十五个工作日内向同级采购监督管理部门提出投诉。</w:t>
      </w:r>
    </w:p>
    <w:p w14:paraId="64971939">
      <w:pPr>
        <w:pStyle w:val="616"/>
        <w:shd w:val="clear" w:color="auto" w:fill="FFFFFF"/>
        <w:snapToGrid w:val="0"/>
        <w:spacing w:after="240" w:afterAutospacing="0" w:line="360" w:lineRule="auto"/>
        <w:ind w:firstLine="400"/>
        <w:contextualSpacing/>
        <w:rPr>
          <w:rFonts w:ascii="仿宋" w:hAnsi="仿宋" w:eastAsia="仿宋" w:cs="仿宋"/>
          <w:color w:val="auto"/>
          <w:highlight w:val="none"/>
        </w:rPr>
      </w:pPr>
      <w:r>
        <w:rPr>
          <w:rFonts w:hint="eastAsia" w:ascii="仿宋" w:hAnsi="仿宋" w:eastAsia="仿宋" w:cs="仿宋"/>
          <w:color w:val="auto"/>
          <w:highlight w:val="none"/>
        </w:rPr>
        <w:t>3.3.</w:t>
      </w:r>
      <w:r>
        <w:rPr>
          <w:rFonts w:hint="eastAsia" w:ascii="仿宋" w:hAnsi="仿宋" w:eastAsia="仿宋" w:cs="仿宋"/>
          <w:color w:val="auto"/>
          <w:highlight w:val="none"/>
          <w:lang w:val="zh-CN"/>
        </w:rPr>
        <w:t>2</w:t>
      </w:r>
      <w:r>
        <w:rPr>
          <w:rFonts w:hint="eastAsia" w:ascii="仿宋" w:hAnsi="仿宋" w:eastAsia="仿宋" w:cs="仿宋"/>
          <w:color w:val="auto"/>
          <w:highlight w:val="none"/>
        </w:rPr>
        <w:t>供应商投诉的事项不得超出已质疑事项的范围，基于质疑答复内容提出的投诉事项除外。</w:t>
      </w:r>
    </w:p>
    <w:p w14:paraId="09CB654F">
      <w:pPr>
        <w:pStyle w:val="616"/>
        <w:shd w:val="clear" w:color="auto" w:fill="FFFFFF"/>
        <w:snapToGrid w:val="0"/>
        <w:spacing w:after="240" w:afterAutospacing="0" w:line="360" w:lineRule="auto"/>
        <w:ind w:firstLine="400"/>
        <w:contextualSpacing/>
        <w:rPr>
          <w:rFonts w:ascii="仿宋" w:hAnsi="仿宋" w:eastAsia="仿宋" w:cs="仿宋"/>
          <w:color w:val="auto"/>
          <w:highlight w:val="none"/>
        </w:rPr>
      </w:pPr>
      <w:r>
        <w:rPr>
          <w:rFonts w:hint="eastAsia" w:ascii="仿宋" w:hAnsi="仿宋" w:eastAsia="仿宋" w:cs="仿宋"/>
          <w:color w:val="auto"/>
          <w:highlight w:val="none"/>
        </w:rPr>
        <w:t>3.3.3供应商投诉应当有明确的请求和必要的证明材料。</w:t>
      </w:r>
    </w:p>
    <w:p w14:paraId="75034F09">
      <w:pPr>
        <w:pStyle w:val="616"/>
        <w:shd w:val="clear" w:color="auto" w:fill="FFFFFF"/>
        <w:snapToGrid w:val="0"/>
        <w:spacing w:after="240" w:afterAutospacing="0" w:line="360" w:lineRule="auto"/>
        <w:ind w:firstLine="400"/>
        <w:contextualSpacing/>
        <w:rPr>
          <w:rFonts w:ascii="仿宋" w:hAnsi="仿宋" w:eastAsia="仿宋" w:cs="仿宋"/>
          <w:color w:val="auto"/>
          <w:highlight w:val="none"/>
        </w:rPr>
      </w:pPr>
      <w:r>
        <w:rPr>
          <w:rFonts w:hint="eastAsia" w:ascii="仿宋" w:hAnsi="仿宋" w:eastAsia="仿宋" w:cs="仿宋"/>
          <w:color w:val="auto"/>
          <w:highlight w:val="none"/>
        </w:rPr>
        <w:t>3.3.5 以联合体形式参加采购活动的，其投诉应当由组成联合体的所有供应商共同提出。</w:t>
      </w:r>
    </w:p>
    <w:p w14:paraId="0103C55E">
      <w:pPr>
        <w:pStyle w:val="616"/>
        <w:shd w:val="clear" w:color="auto" w:fill="FFFFFF"/>
        <w:snapToGrid w:val="0"/>
        <w:spacing w:after="240" w:afterAutospacing="0" w:line="360" w:lineRule="auto"/>
        <w:ind w:firstLine="400"/>
        <w:contextualSpacing/>
        <w:rPr>
          <w:rFonts w:ascii="仿宋" w:hAnsi="仿宋" w:eastAsia="仿宋" w:cs="仿宋"/>
          <w:color w:val="auto"/>
          <w:highlight w:val="none"/>
        </w:rPr>
      </w:pPr>
      <w:r>
        <w:rPr>
          <w:rFonts w:hint="eastAsia" w:ascii="仿宋" w:hAnsi="仿宋" w:eastAsia="仿宋" w:cs="仿宋"/>
          <w:color w:val="auto"/>
          <w:highlight w:val="none"/>
        </w:rPr>
        <w:t>投诉书范本及制作说明详见附件3。</w:t>
      </w:r>
    </w:p>
    <w:p w14:paraId="3AF78FBA">
      <w:pPr>
        <w:pStyle w:val="218"/>
        <w:snapToGrid w:val="0"/>
        <w:spacing w:before="0"/>
        <w:ind w:firstLine="360"/>
        <w:rPr>
          <w:rFonts w:ascii="仿宋" w:hAnsi="仿宋" w:eastAsia="仿宋" w:cs="仿宋"/>
          <w:color w:val="auto"/>
          <w:sz w:val="18"/>
          <w:szCs w:val="18"/>
          <w:highlight w:val="none"/>
        </w:rPr>
      </w:pPr>
    </w:p>
    <w:p w14:paraId="7F23773F">
      <w:pPr>
        <w:adjustRightInd/>
        <w:spacing w:line="360" w:lineRule="auto"/>
        <w:jc w:val="center"/>
        <w:outlineLvl w:val="0"/>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t xml:space="preserve">      二、交易文件的构成、澄清、修改</w:t>
      </w:r>
    </w:p>
    <w:p w14:paraId="299DC677">
      <w:pPr>
        <w:pStyle w:val="3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4．交易文件的构成</w:t>
      </w:r>
    </w:p>
    <w:p w14:paraId="0252B172">
      <w:pPr>
        <w:pStyle w:val="32"/>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 交易文件包括下列文件及附件：</w:t>
      </w:r>
    </w:p>
    <w:p w14:paraId="26594202">
      <w:pPr>
        <w:pStyle w:val="32"/>
        <w:tabs>
          <w:tab w:val="left" w:pos="840"/>
        </w:tabs>
        <w:spacing w:line="360" w:lineRule="auto"/>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4.1.1交易公告；</w:t>
      </w:r>
    </w:p>
    <w:p w14:paraId="51893346">
      <w:pPr>
        <w:pStyle w:val="32"/>
        <w:tabs>
          <w:tab w:val="left" w:pos="840"/>
        </w:tabs>
        <w:spacing w:line="360" w:lineRule="auto"/>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4.1.2供应商须知；</w:t>
      </w:r>
    </w:p>
    <w:p w14:paraId="008674CA">
      <w:pPr>
        <w:pStyle w:val="32"/>
        <w:tabs>
          <w:tab w:val="left" w:pos="840"/>
        </w:tabs>
        <w:spacing w:line="360" w:lineRule="auto"/>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4.1.3采购需求；</w:t>
      </w:r>
    </w:p>
    <w:p w14:paraId="05615F4E">
      <w:pPr>
        <w:pStyle w:val="32"/>
        <w:tabs>
          <w:tab w:val="left" w:pos="840"/>
        </w:tabs>
        <w:spacing w:line="360" w:lineRule="auto"/>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4.1.4交易办法；</w:t>
      </w:r>
    </w:p>
    <w:p w14:paraId="5A3F4BBC">
      <w:pPr>
        <w:pStyle w:val="32"/>
        <w:tabs>
          <w:tab w:val="left" w:pos="840"/>
        </w:tabs>
        <w:spacing w:line="360" w:lineRule="auto"/>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4.1.5拟签订的合同文本；</w:t>
      </w:r>
    </w:p>
    <w:p w14:paraId="456FEA68">
      <w:pPr>
        <w:pStyle w:val="32"/>
        <w:tabs>
          <w:tab w:val="left" w:pos="840"/>
        </w:tabs>
        <w:spacing w:line="360" w:lineRule="auto"/>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highlight w:val="none"/>
        </w:rPr>
        <w:t>4.1.6</w:t>
      </w:r>
      <w:r>
        <w:rPr>
          <w:rFonts w:hint="eastAsia" w:ascii="仿宋" w:hAnsi="仿宋" w:eastAsia="仿宋" w:cs="仿宋"/>
          <w:color w:val="auto"/>
          <w:sz w:val="24"/>
          <w:szCs w:val="24"/>
          <w:highlight w:val="none"/>
        </w:rPr>
        <w:t>应提交的有关格式范例。</w:t>
      </w:r>
    </w:p>
    <w:p w14:paraId="5ACA0C4C">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4.2与本项目有关的</w:t>
      </w:r>
      <w:r>
        <w:rPr>
          <w:rFonts w:hint="eastAsia" w:ascii="仿宋" w:hAnsi="仿宋" w:eastAsia="仿宋" w:cs="仿宋"/>
          <w:bCs/>
          <w:color w:val="auto"/>
          <w:sz w:val="24"/>
          <w:highlight w:val="none"/>
        </w:rPr>
        <w:t>澄清或者修改的内容为交易文件的组成部分</w:t>
      </w:r>
      <w:r>
        <w:rPr>
          <w:rFonts w:hint="eastAsia" w:ascii="仿宋" w:hAnsi="仿宋" w:eastAsia="仿宋" w:cs="仿宋"/>
          <w:color w:val="auto"/>
          <w:sz w:val="24"/>
          <w:highlight w:val="none"/>
        </w:rPr>
        <w:t>。</w:t>
      </w:r>
    </w:p>
    <w:p w14:paraId="31FB15F2">
      <w:pPr>
        <w:pStyle w:val="3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5. 交易文件的澄清、修改</w:t>
      </w:r>
    </w:p>
    <w:p w14:paraId="1A0F81C4">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5.1已获取交易文件的潜在供应商，若有问题需要澄清，应于投标截止时间前，以书面形式向采购机构提出。</w:t>
      </w:r>
    </w:p>
    <w:p w14:paraId="14EF2DF6">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5.2 采购机构对交易文件进行澄清或修改的，将同时通过电子交易平台通知已获取交易文件的潜在供应商。依法应当公告的，将按规定公告，同时视情况延长投标截止时间和交易时间。该澄清或者修改的内容为交易文件的组成部分。</w:t>
      </w:r>
    </w:p>
    <w:p w14:paraId="1A12A5EE">
      <w:pPr>
        <w:pStyle w:val="22"/>
        <w:rPr>
          <w:rFonts w:ascii="仿宋" w:hAnsi="仿宋" w:eastAsia="仿宋" w:cs="仿宋"/>
          <w:color w:val="auto"/>
          <w:sz w:val="18"/>
          <w:szCs w:val="18"/>
          <w:highlight w:val="none"/>
          <w:lang w:val="en-US"/>
        </w:rPr>
      </w:pPr>
      <w:r>
        <w:rPr>
          <w:rFonts w:hint="eastAsia" w:ascii="仿宋" w:hAnsi="仿宋" w:eastAsia="仿宋" w:cs="仿宋"/>
          <w:color w:val="auto"/>
          <w:szCs w:val="24"/>
          <w:highlight w:val="none"/>
          <w:lang w:val="en-US"/>
        </w:rPr>
        <w:t xml:space="preserve">    </w:t>
      </w:r>
    </w:p>
    <w:p w14:paraId="473D8355">
      <w:pPr>
        <w:adjustRightInd/>
        <w:spacing w:line="360" w:lineRule="auto"/>
        <w:jc w:val="center"/>
        <w:outlineLvl w:val="0"/>
        <w:rPr>
          <w:rFonts w:ascii="仿宋" w:hAnsi="仿宋" w:eastAsia="仿宋" w:cs="仿宋"/>
          <w:b/>
          <w:color w:val="auto"/>
          <w:sz w:val="30"/>
          <w:szCs w:val="20"/>
          <w:highlight w:val="none"/>
        </w:rPr>
      </w:pPr>
      <w:r>
        <w:rPr>
          <w:rFonts w:hint="eastAsia" w:ascii="仿宋" w:hAnsi="仿宋" w:eastAsia="仿宋" w:cs="仿宋"/>
          <w:b/>
          <w:color w:val="auto"/>
          <w:sz w:val="30"/>
          <w:szCs w:val="20"/>
          <w:highlight w:val="none"/>
        </w:rPr>
        <w:t>三、交易</w:t>
      </w:r>
    </w:p>
    <w:p w14:paraId="6F8E7555">
      <w:pPr>
        <w:pStyle w:val="3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6. 交易文件的获取</w:t>
      </w:r>
    </w:p>
    <w:p w14:paraId="4587138F">
      <w:pPr>
        <w:spacing w:line="360" w:lineRule="auto"/>
        <w:ind w:firstLine="480" w:firstLineChars="200"/>
        <w:rPr>
          <w:rFonts w:ascii="仿宋" w:hAnsi="仿宋" w:eastAsia="仿宋" w:cs="仿宋"/>
          <w:snapToGrid w:val="0"/>
          <w:color w:val="auto"/>
          <w:kern w:val="28"/>
          <w:sz w:val="24"/>
          <w:highlight w:val="none"/>
        </w:rPr>
      </w:pPr>
      <w:r>
        <w:rPr>
          <w:rFonts w:hint="eastAsia" w:ascii="仿宋" w:hAnsi="仿宋" w:eastAsia="仿宋" w:cs="仿宋"/>
          <w:snapToGrid w:val="0"/>
          <w:color w:val="auto"/>
          <w:kern w:val="28"/>
          <w:sz w:val="24"/>
          <w:highlight w:val="none"/>
        </w:rPr>
        <w:t>详见交易公告中获取交易文件的时间期限、地点、方式及交易文件售价。</w:t>
      </w:r>
    </w:p>
    <w:p w14:paraId="752C22B5">
      <w:pPr>
        <w:pStyle w:val="3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7.交易前答疑会或现场考察</w:t>
      </w:r>
    </w:p>
    <w:p w14:paraId="0D90F32E">
      <w:pPr>
        <w:pStyle w:val="32"/>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交易发起人组织潜在供应商现场考察或者召开交易前答疑会的，潜在供应商按第二部分供应商须知前附表的规定参加现场考察或者交易前答疑会。</w:t>
      </w:r>
    </w:p>
    <w:p w14:paraId="7189129F">
      <w:pPr>
        <w:pStyle w:val="32"/>
        <w:spacing w:line="360" w:lineRule="auto"/>
        <w:rPr>
          <w:rFonts w:ascii="仿宋" w:hAnsi="仿宋" w:eastAsia="仿宋" w:cs="仿宋"/>
          <w:b/>
          <w:color w:val="auto"/>
          <w:szCs w:val="24"/>
          <w:highlight w:val="none"/>
        </w:rPr>
      </w:pPr>
      <w:r>
        <w:rPr>
          <w:rFonts w:hint="eastAsia" w:ascii="仿宋" w:hAnsi="仿宋" w:eastAsia="仿宋" w:cs="仿宋"/>
          <w:b/>
          <w:color w:val="auto"/>
          <w:kern w:val="28"/>
          <w:sz w:val="24"/>
          <w:szCs w:val="24"/>
          <w:highlight w:val="none"/>
        </w:rPr>
        <w:t>8.交易保证金</w:t>
      </w:r>
    </w:p>
    <w:p w14:paraId="136935C2">
      <w:pPr>
        <w:pStyle w:val="15"/>
        <w:spacing w:line="360" w:lineRule="auto"/>
        <w:ind w:firstLine="470" w:firstLineChars="196"/>
        <w:rPr>
          <w:rFonts w:ascii="仿宋" w:hAnsi="仿宋" w:eastAsia="仿宋" w:cs="仿宋"/>
          <w:color w:val="auto"/>
          <w:sz w:val="24"/>
          <w:highlight w:val="none"/>
        </w:rPr>
      </w:pPr>
      <w:r>
        <w:rPr>
          <w:rFonts w:hint="eastAsia" w:ascii="仿宋" w:hAnsi="仿宋" w:eastAsia="仿宋" w:cs="仿宋"/>
          <w:color w:val="auto"/>
          <w:sz w:val="24"/>
          <w:highlight w:val="none"/>
        </w:rPr>
        <w:t>本项目不需缴纳交易保证金。</w:t>
      </w:r>
    </w:p>
    <w:p w14:paraId="44ABFC47">
      <w:pPr>
        <w:pStyle w:val="3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9. 响应文件的语言</w:t>
      </w:r>
    </w:p>
    <w:p w14:paraId="6913A49D">
      <w:pPr>
        <w:autoSpaceDE w:val="0"/>
        <w:autoSpaceDN w:val="0"/>
        <w:spacing w:line="360" w:lineRule="auto"/>
        <w:ind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响应文件及供应商与采购有关的来往通知、函件和文件均应使用中文。</w:t>
      </w:r>
    </w:p>
    <w:p w14:paraId="0AD12ED7">
      <w:pPr>
        <w:pStyle w:val="3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10. 响应文件的组成</w:t>
      </w:r>
    </w:p>
    <w:p w14:paraId="3E500665">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10.1</w:t>
      </w:r>
      <w:r>
        <w:rPr>
          <w:rFonts w:hint="eastAsia" w:ascii="仿宋" w:hAnsi="仿宋" w:eastAsia="仿宋" w:cs="仿宋"/>
          <w:b/>
          <w:color w:val="auto"/>
          <w:sz w:val="24"/>
          <w:highlight w:val="none"/>
        </w:rPr>
        <w:t>资格文件</w:t>
      </w:r>
      <w:r>
        <w:rPr>
          <w:rFonts w:hint="eastAsia" w:ascii="仿宋" w:hAnsi="仿宋" w:eastAsia="仿宋" w:cs="仿宋"/>
          <w:color w:val="auto"/>
          <w:sz w:val="24"/>
          <w:highlight w:val="none"/>
        </w:rPr>
        <w:t>：</w:t>
      </w:r>
    </w:p>
    <w:p w14:paraId="777595E3">
      <w:pPr>
        <w:snapToGrid w:val="0"/>
        <w:spacing w:line="360" w:lineRule="auto"/>
        <w:ind w:firstLine="960" w:firstLineChars="400"/>
        <w:rPr>
          <w:rFonts w:ascii="仿宋" w:hAnsi="仿宋" w:eastAsia="仿宋" w:cs="仿宋"/>
          <w:color w:val="auto"/>
          <w:sz w:val="24"/>
          <w:highlight w:val="none"/>
        </w:rPr>
      </w:pPr>
      <w:r>
        <w:rPr>
          <w:rFonts w:hint="eastAsia" w:ascii="仿宋" w:hAnsi="仿宋" w:eastAsia="仿宋" w:cs="仿宋"/>
          <w:color w:val="auto"/>
          <w:sz w:val="24"/>
          <w:highlight w:val="none"/>
        </w:rPr>
        <w:t>10.1.1符合参加采购活动应当具备的一般条件的承诺函；</w:t>
      </w:r>
    </w:p>
    <w:p w14:paraId="7F125F75">
      <w:pPr>
        <w:snapToGrid w:val="0"/>
        <w:spacing w:line="360" w:lineRule="auto"/>
        <w:ind w:firstLine="960" w:firstLineChars="400"/>
        <w:rPr>
          <w:rFonts w:ascii="仿宋" w:hAnsi="仿宋" w:eastAsia="仿宋" w:cs="仿宋"/>
          <w:color w:val="auto"/>
          <w:sz w:val="24"/>
          <w:highlight w:val="none"/>
        </w:rPr>
      </w:pPr>
      <w:r>
        <w:rPr>
          <w:rFonts w:hint="eastAsia" w:ascii="仿宋" w:hAnsi="仿宋" w:eastAsia="仿宋" w:cs="仿宋"/>
          <w:color w:val="auto"/>
          <w:sz w:val="24"/>
          <w:highlight w:val="none"/>
        </w:rPr>
        <w:t>10.1.2本项目的特定资格要求。</w:t>
      </w:r>
    </w:p>
    <w:p w14:paraId="3CF3B940">
      <w:pPr>
        <w:snapToGrid w:val="0"/>
        <w:spacing w:line="360" w:lineRule="auto"/>
        <w:ind w:firstLine="482" w:firstLineChars="200"/>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1</w:t>
      </w:r>
      <w:r>
        <w:rPr>
          <w:rFonts w:hint="eastAsia" w:ascii="仿宋" w:hAnsi="仿宋" w:eastAsia="仿宋" w:cs="仿宋"/>
          <w:b/>
          <w:bCs/>
          <w:color w:val="auto"/>
          <w:sz w:val="24"/>
          <w:highlight w:val="none"/>
        </w:rPr>
        <w:t>0</w:t>
      </w:r>
      <w:r>
        <w:rPr>
          <w:rFonts w:hint="eastAsia" w:ascii="仿宋" w:hAnsi="仿宋" w:eastAsia="仿宋" w:cs="仿宋"/>
          <w:b/>
          <w:bCs/>
          <w:color w:val="auto"/>
          <w:sz w:val="24"/>
          <w:highlight w:val="none"/>
          <w:lang w:val="zh-CN"/>
        </w:rPr>
        <w:t>.</w:t>
      </w:r>
      <w:r>
        <w:rPr>
          <w:rFonts w:hint="eastAsia" w:ascii="仿宋" w:hAnsi="仿宋" w:eastAsia="仿宋" w:cs="仿宋"/>
          <w:b/>
          <w:bCs/>
          <w:color w:val="auto"/>
          <w:sz w:val="24"/>
          <w:highlight w:val="none"/>
        </w:rPr>
        <w:t>2商务技术</w:t>
      </w:r>
      <w:r>
        <w:rPr>
          <w:rFonts w:hint="eastAsia" w:ascii="仿宋" w:hAnsi="仿宋" w:eastAsia="仿宋" w:cs="仿宋"/>
          <w:b/>
          <w:bCs/>
          <w:color w:val="auto"/>
          <w:sz w:val="24"/>
          <w:highlight w:val="none"/>
          <w:lang w:val="zh-CN"/>
        </w:rPr>
        <w:t>文件：</w:t>
      </w:r>
    </w:p>
    <w:p w14:paraId="3EF728F9">
      <w:pPr>
        <w:snapToGrid w:val="0"/>
        <w:spacing w:line="360" w:lineRule="auto"/>
        <w:ind w:firstLine="960" w:firstLineChars="400"/>
        <w:rPr>
          <w:rFonts w:ascii="仿宋" w:hAnsi="仿宋" w:eastAsia="仿宋" w:cs="仿宋"/>
          <w:color w:val="auto"/>
          <w:sz w:val="24"/>
          <w:highlight w:val="none"/>
        </w:rPr>
      </w:pPr>
      <w:r>
        <w:rPr>
          <w:rFonts w:hint="eastAsia" w:ascii="仿宋" w:hAnsi="仿宋" w:eastAsia="仿宋" w:cs="仿宋"/>
          <w:color w:val="auto"/>
          <w:sz w:val="24"/>
          <w:highlight w:val="none"/>
        </w:rPr>
        <w:t>10.2.1交易函；</w:t>
      </w:r>
      <w:r>
        <w:rPr>
          <w:rFonts w:hint="eastAsia" w:ascii="仿宋" w:hAnsi="仿宋" w:eastAsia="仿宋" w:cs="仿宋"/>
          <w:color w:val="auto"/>
          <w:sz w:val="24"/>
          <w:highlight w:val="none"/>
          <w:lang w:val="zh-CN"/>
        </w:rPr>
        <w:t xml:space="preserve"> </w:t>
      </w:r>
    </w:p>
    <w:p w14:paraId="6BE9D0F3">
      <w:pPr>
        <w:snapToGrid w:val="0"/>
        <w:spacing w:line="360" w:lineRule="auto"/>
        <w:ind w:firstLine="960" w:firstLineChars="400"/>
        <w:rPr>
          <w:rFonts w:ascii="仿宋" w:hAnsi="仿宋" w:eastAsia="仿宋" w:cs="仿宋"/>
          <w:color w:val="auto"/>
          <w:sz w:val="24"/>
          <w:highlight w:val="none"/>
        </w:rPr>
      </w:pPr>
      <w:r>
        <w:rPr>
          <w:rFonts w:hint="eastAsia" w:ascii="仿宋" w:hAnsi="仿宋" w:eastAsia="仿宋" w:cs="仿宋"/>
          <w:color w:val="auto"/>
          <w:sz w:val="24"/>
          <w:highlight w:val="none"/>
        </w:rPr>
        <w:t>10.2.2授权委托书或法定代表人（单位负责人、自然人本人）身份证明；</w:t>
      </w:r>
    </w:p>
    <w:p w14:paraId="4B38395C">
      <w:pPr>
        <w:snapToGrid w:val="0"/>
        <w:spacing w:line="360" w:lineRule="auto"/>
        <w:ind w:firstLine="960" w:firstLineChars="400"/>
        <w:rPr>
          <w:rFonts w:ascii="仿宋" w:hAnsi="仿宋" w:eastAsia="仿宋" w:cs="仿宋"/>
          <w:color w:val="auto"/>
          <w:sz w:val="24"/>
          <w:highlight w:val="none"/>
        </w:rPr>
      </w:pPr>
      <w:r>
        <w:rPr>
          <w:rFonts w:hint="eastAsia" w:ascii="仿宋" w:hAnsi="仿宋" w:eastAsia="仿宋" w:cs="仿宋"/>
          <w:color w:val="auto"/>
          <w:sz w:val="24"/>
          <w:highlight w:val="none"/>
        </w:rPr>
        <w:t>10.2.3符合性审查资料；</w:t>
      </w:r>
    </w:p>
    <w:p w14:paraId="19C15631">
      <w:pPr>
        <w:snapToGrid w:val="0"/>
        <w:spacing w:line="360" w:lineRule="auto"/>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10.2.4评标标准相应的商务技术资料；</w:t>
      </w:r>
    </w:p>
    <w:p w14:paraId="75E1E8DA">
      <w:pPr>
        <w:snapToGrid w:val="0"/>
        <w:spacing w:line="360" w:lineRule="auto"/>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10.2.5响应标的清单；</w:t>
      </w:r>
    </w:p>
    <w:p w14:paraId="64D5FEF0">
      <w:pPr>
        <w:snapToGrid w:val="0"/>
        <w:spacing w:line="360" w:lineRule="auto"/>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10.2.6商务技术偏离表；</w:t>
      </w:r>
    </w:p>
    <w:p w14:paraId="1A0190E5">
      <w:pPr>
        <w:snapToGrid w:val="0"/>
        <w:spacing w:line="360" w:lineRule="auto"/>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10.2.7</w:t>
      </w:r>
      <w:r>
        <w:rPr>
          <w:rFonts w:hint="eastAsia" w:ascii="仿宋" w:hAnsi="仿宋" w:eastAsia="仿宋" w:cs="仿宋"/>
          <w:color w:val="auto"/>
          <w:sz w:val="24"/>
          <w:highlight w:val="none"/>
          <w:lang w:val="zh-CN"/>
        </w:rPr>
        <w:t>采购供应商廉洁自律承诺书；</w:t>
      </w:r>
    </w:p>
    <w:p w14:paraId="2E50D3FE">
      <w:pPr>
        <w:snapToGrid w:val="0"/>
        <w:spacing w:line="360" w:lineRule="auto"/>
        <w:ind w:firstLine="480" w:firstLineChars="200"/>
        <w:rPr>
          <w:rFonts w:ascii="仿宋" w:hAnsi="仿宋" w:eastAsia="仿宋" w:cs="仿宋"/>
          <w:color w:val="auto"/>
          <w:sz w:val="24"/>
          <w:highlight w:val="none"/>
          <w:u w:val="single"/>
          <w:lang w:val="zh-CN"/>
        </w:rPr>
      </w:pPr>
      <w:r>
        <w:rPr>
          <w:rFonts w:hint="eastAsia" w:ascii="仿宋" w:hAnsi="仿宋" w:eastAsia="仿宋" w:cs="仿宋"/>
          <w:color w:val="auto"/>
          <w:kern w:val="0"/>
          <w:sz w:val="24"/>
          <w:highlight w:val="none"/>
          <w:lang w:val="zh-CN"/>
        </w:rPr>
        <w:t>1</w:t>
      </w:r>
      <w:r>
        <w:rPr>
          <w:rFonts w:hint="eastAsia" w:ascii="仿宋" w:hAnsi="仿宋" w:eastAsia="仿宋" w:cs="仿宋"/>
          <w:color w:val="auto"/>
          <w:kern w:val="0"/>
          <w:sz w:val="24"/>
          <w:highlight w:val="none"/>
        </w:rPr>
        <w:t>0</w:t>
      </w:r>
      <w:r>
        <w:rPr>
          <w:rFonts w:hint="eastAsia" w:ascii="仿宋" w:hAnsi="仿宋" w:eastAsia="仿宋" w:cs="仿宋"/>
          <w:color w:val="auto"/>
          <w:kern w:val="0"/>
          <w:sz w:val="24"/>
          <w:highlight w:val="none"/>
          <w:lang w:val="zh-CN"/>
        </w:rPr>
        <w:t>.</w:t>
      </w:r>
      <w:r>
        <w:rPr>
          <w:rFonts w:hint="eastAsia" w:ascii="仿宋" w:hAnsi="仿宋" w:eastAsia="仿宋" w:cs="仿宋"/>
          <w:color w:val="auto"/>
          <w:kern w:val="0"/>
          <w:sz w:val="24"/>
          <w:highlight w:val="none"/>
        </w:rPr>
        <w:t>3</w:t>
      </w:r>
      <w:r>
        <w:rPr>
          <w:rFonts w:hint="eastAsia" w:ascii="仿宋" w:hAnsi="仿宋" w:eastAsia="仿宋" w:cs="仿宋"/>
          <w:b/>
          <w:color w:val="auto"/>
          <w:sz w:val="24"/>
          <w:highlight w:val="none"/>
        </w:rPr>
        <w:t>报价文件：</w:t>
      </w:r>
      <w:r>
        <w:rPr>
          <w:rFonts w:hint="eastAsia" w:ascii="仿宋" w:hAnsi="仿宋" w:eastAsia="仿宋" w:cs="仿宋"/>
          <w:color w:val="auto"/>
          <w:sz w:val="24"/>
          <w:highlight w:val="none"/>
        </w:rPr>
        <w:t xml:space="preserve"> </w:t>
      </w:r>
    </w:p>
    <w:p w14:paraId="2164F145">
      <w:pPr>
        <w:snapToGrid w:val="0"/>
        <w:spacing w:line="360" w:lineRule="auto"/>
        <w:ind w:firstLine="960" w:firstLineChars="400"/>
        <w:rPr>
          <w:rFonts w:ascii="仿宋" w:hAnsi="仿宋" w:eastAsia="仿宋" w:cs="仿宋"/>
          <w:color w:val="auto"/>
          <w:sz w:val="24"/>
          <w:highlight w:val="none"/>
        </w:rPr>
      </w:pPr>
      <w:r>
        <w:rPr>
          <w:rFonts w:hint="eastAsia" w:ascii="仿宋" w:hAnsi="仿宋" w:eastAsia="仿宋" w:cs="仿宋"/>
          <w:color w:val="auto"/>
          <w:sz w:val="24"/>
          <w:highlight w:val="none"/>
        </w:rPr>
        <w:t>10.3.1交易一览表（报价表）；</w:t>
      </w:r>
    </w:p>
    <w:p w14:paraId="51B3FA36">
      <w:pPr>
        <w:spacing w:line="360" w:lineRule="auto"/>
        <w:ind w:firstLine="723" w:firstLineChars="300"/>
        <w:rPr>
          <w:rFonts w:ascii="仿宋" w:hAnsi="仿宋" w:eastAsia="仿宋" w:cs="仿宋"/>
          <w:b/>
          <w:color w:val="auto"/>
          <w:sz w:val="24"/>
          <w:highlight w:val="none"/>
        </w:rPr>
      </w:pPr>
      <w:r>
        <w:rPr>
          <w:rFonts w:hint="eastAsia" w:ascii="仿宋" w:hAnsi="仿宋" w:eastAsia="仿宋" w:cs="仿宋"/>
          <w:b/>
          <w:color w:val="auto"/>
          <w:sz w:val="24"/>
          <w:highlight w:val="none"/>
        </w:rPr>
        <w:t>响应文件含有交易发起人不能接受的附加条件的，交易无效；</w:t>
      </w:r>
    </w:p>
    <w:p w14:paraId="0206609F">
      <w:pPr>
        <w:spacing w:line="360" w:lineRule="auto"/>
        <w:ind w:firstLine="723" w:firstLineChars="300"/>
        <w:rPr>
          <w:rFonts w:ascii="仿宋" w:hAnsi="仿宋" w:eastAsia="仿宋" w:cs="仿宋"/>
          <w:b/>
          <w:color w:val="auto"/>
          <w:sz w:val="24"/>
          <w:szCs w:val="21"/>
          <w:highlight w:val="none"/>
        </w:rPr>
      </w:pPr>
      <w:r>
        <w:rPr>
          <w:rFonts w:hint="eastAsia" w:ascii="仿宋" w:hAnsi="仿宋" w:eastAsia="仿宋" w:cs="仿宋"/>
          <w:b/>
          <w:color w:val="auto"/>
          <w:sz w:val="24"/>
          <w:highlight w:val="none"/>
        </w:rPr>
        <w:t>供应商提供虚假材料投标的，交易无效。</w:t>
      </w:r>
    </w:p>
    <w:p w14:paraId="0058087B">
      <w:pPr>
        <w:pStyle w:val="218"/>
        <w:snapToGrid w:val="0"/>
        <w:spacing w:before="0"/>
        <w:ind w:firstLine="0" w:firstLineChars="0"/>
        <w:outlineLvl w:val="0"/>
        <w:rPr>
          <w:rFonts w:ascii="仿宋" w:hAnsi="仿宋" w:eastAsia="仿宋" w:cs="仿宋"/>
          <w:b/>
          <w:color w:val="auto"/>
          <w:szCs w:val="24"/>
          <w:highlight w:val="none"/>
        </w:rPr>
      </w:pPr>
      <w:r>
        <w:rPr>
          <w:rFonts w:hint="eastAsia" w:ascii="仿宋" w:hAnsi="仿宋" w:eastAsia="仿宋" w:cs="仿宋"/>
          <w:b/>
          <w:color w:val="auto"/>
          <w:szCs w:val="24"/>
          <w:highlight w:val="none"/>
        </w:rPr>
        <w:t>11</w:t>
      </w:r>
      <w:r>
        <w:rPr>
          <w:rFonts w:hint="eastAsia" w:ascii="仿宋" w:hAnsi="仿宋" w:eastAsia="仿宋" w:cs="仿宋"/>
          <w:b/>
          <w:color w:val="auto"/>
          <w:kern w:val="0"/>
          <w:szCs w:val="24"/>
          <w:highlight w:val="none"/>
          <w:lang w:val="zh-CN"/>
        </w:rPr>
        <w:t>.</w:t>
      </w:r>
      <w:r>
        <w:rPr>
          <w:rFonts w:hint="eastAsia" w:ascii="仿宋" w:hAnsi="仿宋" w:eastAsia="仿宋" w:cs="仿宋"/>
          <w:b/>
          <w:color w:val="auto"/>
          <w:szCs w:val="24"/>
          <w:highlight w:val="none"/>
        </w:rPr>
        <w:t>响应文件的编制</w:t>
      </w:r>
    </w:p>
    <w:p w14:paraId="287C4C78">
      <w:pPr>
        <w:spacing w:line="360" w:lineRule="auto"/>
        <w:ind w:firstLine="480" w:firstLineChars="200"/>
        <w:rPr>
          <w:rFonts w:ascii="仿宋" w:hAnsi="仿宋" w:eastAsia="仿宋" w:cs="仿宋"/>
          <w:b/>
          <w:color w:val="auto"/>
          <w:sz w:val="24"/>
          <w:highlight w:val="none"/>
        </w:rPr>
      </w:pPr>
      <w:r>
        <w:rPr>
          <w:rFonts w:hint="eastAsia" w:ascii="仿宋" w:hAnsi="仿宋" w:eastAsia="仿宋" w:cs="仿宋"/>
          <w:color w:val="auto"/>
          <w:kern w:val="0"/>
          <w:sz w:val="24"/>
          <w:highlight w:val="none"/>
          <w:lang w:val="zh-CN"/>
        </w:rPr>
        <w:t>1</w:t>
      </w:r>
      <w:r>
        <w:rPr>
          <w:rFonts w:hint="eastAsia" w:ascii="仿宋" w:hAnsi="仿宋" w:eastAsia="仿宋" w:cs="仿宋"/>
          <w:color w:val="auto"/>
          <w:kern w:val="0"/>
          <w:sz w:val="24"/>
          <w:highlight w:val="none"/>
        </w:rPr>
        <w:t>1</w:t>
      </w:r>
      <w:r>
        <w:rPr>
          <w:rFonts w:hint="eastAsia" w:ascii="仿宋" w:hAnsi="仿宋" w:eastAsia="仿宋" w:cs="仿宋"/>
          <w:color w:val="auto"/>
          <w:kern w:val="0"/>
          <w:sz w:val="24"/>
          <w:highlight w:val="none"/>
          <w:lang w:val="zh-CN"/>
        </w:rPr>
        <w:t>.1响应文件分为资格文件、商务技术文件、报价文件三部分。各供应商在编制响应文件时请按照交易文件第六部分规定的格式进行，混乱的编排导致响应文件被误读或评标委员会查找不到有效文件是供应商的风险。</w:t>
      </w:r>
    </w:p>
    <w:p w14:paraId="7DA06B92">
      <w:pPr>
        <w:spacing w:line="360" w:lineRule="auto"/>
        <w:ind w:firstLine="480" w:firstLineChars="2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w:t>
      </w:r>
      <w:r>
        <w:rPr>
          <w:rFonts w:hint="eastAsia" w:ascii="仿宋" w:hAnsi="仿宋" w:eastAsia="仿宋" w:cs="仿宋"/>
          <w:color w:val="auto"/>
          <w:kern w:val="0"/>
          <w:sz w:val="24"/>
          <w:highlight w:val="none"/>
        </w:rPr>
        <w:t>1</w:t>
      </w:r>
      <w:r>
        <w:rPr>
          <w:rFonts w:hint="eastAsia" w:ascii="仿宋" w:hAnsi="仿宋" w:eastAsia="仿宋" w:cs="仿宋"/>
          <w:color w:val="auto"/>
          <w:kern w:val="0"/>
          <w:sz w:val="24"/>
          <w:highlight w:val="none"/>
          <w:lang w:val="zh-CN"/>
        </w:rPr>
        <w:t>.2供应商进行电子投标应安装客户端软件—“政采云电子交易客户端”，并按照交易文件和电子交易平台的要求编制并加密响应文件。供应商未按规定加密的响应文件，电子交易平台将拒收并提示。</w:t>
      </w:r>
    </w:p>
    <w:p w14:paraId="546FD5F2">
      <w:pPr>
        <w:spacing w:line="360" w:lineRule="auto"/>
        <w:ind w:firstLine="480" w:firstLineChars="200"/>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w:t>
      </w:r>
      <w:r>
        <w:rPr>
          <w:rFonts w:hint="eastAsia" w:ascii="仿宋" w:hAnsi="仿宋" w:eastAsia="仿宋" w:cs="仿宋"/>
          <w:color w:val="auto"/>
          <w:kern w:val="0"/>
          <w:sz w:val="24"/>
          <w:highlight w:val="none"/>
        </w:rPr>
        <w:t>1</w:t>
      </w:r>
      <w:r>
        <w:rPr>
          <w:rFonts w:hint="eastAsia" w:ascii="仿宋" w:hAnsi="仿宋" w:eastAsia="仿宋" w:cs="仿宋"/>
          <w:color w:val="auto"/>
          <w:kern w:val="0"/>
          <w:sz w:val="24"/>
          <w:highlight w:val="none"/>
          <w:lang w:val="zh-CN"/>
        </w:rPr>
        <w:t>.3使用“政采云电子交易客户端”需要提前申领CA数字证书，申领流程请自行前往“浙江政府采购网-下载专区-电子交易客户端-CA驱动和申领流程”进行查阅。</w:t>
      </w:r>
    </w:p>
    <w:p w14:paraId="7BB7D9EF">
      <w:pPr>
        <w:snapToGrid w:val="0"/>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12.响应文件的签署、盖章</w:t>
      </w:r>
    </w:p>
    <w:p w14:paraId="69BC5FBF">
      <w:pPr>
        <w:pStyle w:val="218"/>
        <w:snapToGrid w:val="0"/>
        <w:spacing w:before="0"/>
        <w:ind w:firstLine="480"/>
        <w:rPr>
          <w:rFonts w:ascii="仿宋" w:hAnsi="仿宋" w:eastAsia="仿宋" w:cs="仿宋"/>
          <w:b/>
          <w:color w:val="auto"/>
          <w:highlight w:val="none"/>
        </w:rPr>
      </w:pPr>
      <w:r>
        <w:rPr>
          <w:rFonts w:hint="eastAsia" w:ascii="仿宋" w:hAnsi="仿宋" w:eastAsia="仿宋" w:cs="仿宋"/>
          <w:color w:val="auto"/>
          <w:szCs w:val="24"/>
          <w:highlight w:val="none"/>
        </w:rPr>
        <w:t>12.1响应文件按照交易文件第六部分格式要</w:t>
      </w:r>
      <w:r>
        <w:rPr>
          <w:rFonts w:hint="eastAsia" w:ascii="仿宋" w:hAnsi="仿宋" w:eastAsia="仿宋" w:cs="仿宋"/>
          <w:color w:val="auto"/>
          <w:highlight w:val="none"/>
        </w:rPr>
        <w:t>求进行签署、盖章。</w:t>
      </w:r>
      <w:r>
        <w:rPr>
          <w:rFonts w:hint="eastAsia" w:ascii="仿宋" w:hAnsi="仿宋" w:eastAsia="仿宋" w:cs="仿宋"/>
          <w:b/>
          <w:color w:val="auto"/>
          <w:highlight w:val="none"/>
        </w:rPr>
        <w:t>▲供应商的响应文件未按照交易文件要求签署、盖章的，其交易无效</w:t>
      </w:r>
      <w:r>
        <w:rPr>
          <w:rFonts w:hint="eastAsia" w:ascii="仿宋" w:hAnsi="仿宋" w:eastAsia="仿宋" w:cs="仿宋"/>
          <w:color w:val="auto"/>
          <w:szCs w:val="24"/>
          <w:highlight w:val="none"/>
        </w:rPr>
        <w:t>。</w:t>
      </w:r>
    </w:p>
    <w:p w14:paraId="5F6E1A9B">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12.2为确保网上操作合法、有效和安全，供应商应当在投标截止时间前完成在“政府采购云平台”的身份认证，确保在电子投标过程中能够对相关数据电文进行加密和使用电子签名。</w:t>
      </w:r>
    </w:p>
    <w:p w14:paraId="689A80A7">
      <w:pPr>
        <w:pStyle w:val="218"/>
        <w:snapToGrid w:val="0"/>
        <w:spacing w:before="0"/>
        <w:ind w:firstLine="480"/>
        <w:rPr>
          <w:rFonts w:ascii="仿宋" w:hAnsi="仿宋" w:eastAsia="仿宋" w:cs="仿宋"/>
          <w:color w:val="auto"/>
          <w:szCs w:val="24"/>
          <w:highlight w:val="none"/>
        </w:rPr>
      </w:pPr>
      <w:r>
        <w:rPr>
          <w:rFonts w:hint="eastAsia" w:ascii="仿宋" w:hAnsi="仿宋" w:eastAsia="仿宋" w:cs="仿宋"/>
          <w:color w:val="auto"/>
          <w:highlight w:val="none"/>
        </w:rPr>
        <w:t>12.3交易文件对响应文件签署、盖章的要求适用于电子签名。</w:t>
      </w:r>
    </w:p>
    <w:p w14:paraId="300E42F4">
      <w:pPr>
        <w:pStyle w:val="218"/>
        <w:spacing w:before="0"/>
        <w:ind w:firstLine="0" w:firstLineChars="0"/>
        <w:rPr>
          <w:rFonts w:ascii="仿宋" w:hAnsi="仿宋" w:eastAsia="仿宋" w:cs="仿宋"/>
          <w:b/>
          <w:color w:val="auto"/>
          <w:szCs w:val="24"/>
          <w:highlight w:val="none"/>
        </w:rPr>
      </w:pPr>
      <w:r>
        <w:rPr>
          <w:rFonts w:hint="eastAsia" w:ascii="仿宋" w:hAnsi="仿宋" w:eastAsia="仿宋" w:cs="仿宋"/>
          <w:b/>
          <w:color w:val="auto"/>
          <w:szCs w:val="24"/>
          <w:highlight w:val="none"/>
        </w:rPr>
        <w:t>13. 响应文件的提交、补充、修改、撤回</w:t>
      </w:r>
    </w:p>
    <w:p w14:paraId="38DC2F39">
      <w:pPr>
        <w:pStyle w:val="218"/>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13.1供应商应当在投标截止时间前完成响应文件的传输递交，并可以补充、修改或者撤回响应文件。补充或者修改响应文件的，应当先行撤回原文件，补充、修改后重新传输递交。投标截止时间前未完成传输的，视为撤回响应文件。投标截止时间后递交的响应文件，电子交易平台将拒收。</w:t>
      </w:r>
    </w:p>
    <w:p w14:paraId="3FC5A0C8">
      <w:pPr>
        <w:pStyle w:val="218"/>
        <w:spacing w:before="0"/>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13.2电子交易平台收到响应文件，将妥善保存并即时向供应商发出确认回执通知。在投标截止时间前，除供应商补充、修改或者撤回响应文件外，任何单位和个人不得解密或提取响应文件。</w:t>
      </w:r>
    </w:p>
    <w:p w14:paraId="0184D034">
      <w:pPr>
        <w:pStyle w:val="218"/>
        <w:spacing w:before="0"/>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13.3交易发起人、采购机构可以视情况延长响应文件提交的截止时间。在上述情况下，采购机构与供应商以前在投标截止期方面的全部权利、责任和义务，将适用于延长至新的投标截止期。</w:t>
      </w:r>
    </w:p>
    <w:p w14:paraId="00F9F1FA">
      <w:pPr>
        <w:pStyle w:val="32"/>
        <w:numPr>
          <w:ilvl w:val="0"/>
          <w:numId w:val="9"/>
        </w:num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备份响应文件</w:t>
      </w:r>
    </w:p>
    <w:p w14:paraId="6564F2FF">
      <w:pPr>
        <w:pStyle w:val="32"/>
        <w:spacing w:line="360" w:lineRule="auto"/>
        <w:ind w:firstLine="480" w:firstLineChars="200"/>
        <w:rPr>
          <w:rFonts w:ascii="仿宋" w:hAnsi="仿宋" w:eastAsia="仿宋" w:cs="仿宋"/>
          <w:b/>
          <w:color w:val="auto"/>
          <w:sz w:val="24"/>
          <w:szCs w:val="24"/>
          <w:highlight w:val="none"/>
        </w:rPr>
      </w:pPr>
      <w:r>
        <w:rPr>
          <w:rFonts w:hint="eastAsia" w:ascii="仿宋" w:hAnsi="仿宋" w:eastAsia="仿宋" w:cs="仿宋"/>
          <w:color w:val="auto"/>
          <w:kern w:val="28"/>
          <w:sz w:val="24"/>
          <w:szCs w:val="24"/>
          <w:highlight w:val="none"/>
        </w:rPr>
        <w:t>不收取备份响应文件</w:t>
      </w:r>
    </w:p>
    <w:p w14:paraId="0BD05BD8">
      <w:pPr>
        <w:pStyle w:val="218"/>
        <w:spacing w:before="0"/>
        <w:ind w:firstLine="0" w:firstLineChars="0"/>
        <w:rPr>
          <w:rFonts w:ascii="仿宋" w:hAnsi="仿宋" w:eastAsia="仿宋" w:cs="仿宋"/>
          <w:b/>
          <w:color w:val="auto"/>
          <w:szCs w:val="24"/>
          <w:highlight w:val="none"/>
        </w:rPr>
      </w:pPr>
      <w:r>
        <w:rPr>
          <w:rFonts w:hint="eastAsia" w:ascii="仿宋" w:hAnsi="仿宋" w:eastAsia="仿宋" w:cs="仿宋"/>
          <w:b/>
          <w:color w:val="auto"/>
          <w:szCs w:val="24"/>
          <w:highlight w:val="none"/>
        </w:rPr>
        <w:t>15.响应文件的无效处理</w:t>
      </w:r>
    </w:p>
    <w:p w14:paraId="47786CA1">
      <w:pPr>
        <w:pStyle w:val="24"/>
        <w:spacing w:line="360" w:lineRule="auto"/>
        <w:ind w:firstLine="360" w:firstLineChars="150"/>
        <w:rPr>
          <w:rFonts w:ascii="仿宋" w:hAnsi="仿宋" w:eastAsia="仿宋" w:cs="仿宋"/>
          <w:color w:val="auto"/>
          <w:szCs w:val="21"/>
          <w:highlight w:val="none"/>
        </w:rPr>
      </w:pPr>
      <w:r>
        <w:rPr>
          <w:rFonts w:hint="eastAsia" w:ascii="仿宋" w:hAnsi="仿宋" w:eastAsia="仿宋" w:cs="仿宋"/>
          <w:color w:val="auto"/>
          <w:szCs w:val="21"/>
          <w:highlight w:val="none"/>
        </w:rPr>
        <w:t>有交易文件第四部分</w:t>
      </w:r>
      <w:r>
        <w:rPr>
          <w:rFonts w:hint="eastAsia" w:ascii="仿宋" w:hAnsi="仿宋" w:eastAsia="仿宋" w:cs="仿宋"/>
          <w:color w:val="auto"/>
          <w:highlight w:val="none"/>
        </w:rPr>
        <w:t>4.2规定</w:t>
      </w:r>
      <w:r>
        <w:rPr>
          <w:rFonts w:hint="eastAsia" w:ascii="仿宋" w:hAnsi="仿宋" w:eastAsia="仿宋" w:cs="仿宋"/>
          <w:color w:val="auto"/>
          <w:szCs w:val="21"/>
          <w:highlight w:val="none"/>
        </w:rPr>
        <w:t>的情形之一的，交易无效：</w:t>
      </w:r>
    </w:p>
    <w:p w14:paraId="044CECD3">
      <w:pPr>
        <w:pStyle w:val="218"/>
        <w:spacing w:before="0"/>
        <w:ind w:firstLine="0" w:firstLineChars="0"/>
        <w:rPr>
          <w:rFonts w:ascii="仿宋" w:hAnsi="仿宋" w:eastAsia="仿宋" w:cs="仿宋"/>
          <w:b/>
          <w:color w:val="auto"/>
          <w:szCs w:val="24"/>
          <w:highlight w:val="none"/>
        </w:rPr>
      </w:pPr>
      <w:r>
        <w:rPr>
          <w:rFonts w:hint="eastAsia" w:ascii="仿宋" w:hAnsi="仿宋" w:eastAsia="仿宋" w:cs="仿宋"/>
          <w:b/>
          <w:color w:val="auto"/>
          <w:szCs w:val="24"/>
          <w:highlight w:val="none"/>
        </w:rPr>
        <w:t>16.交易有效期</w:t>
      </w:r>
    </w:p>
    <w:p w14:paraId="0C927598">
      <w:pPr>
        <w:spacing w:line="360" w:lineRule="auto"/>
        <w:ind w:firstLine="480" w:firstLineChars="200"/>
        <w:rPr>
          <w:rFonts w:ascii="仿宋" w:hAnsi="仿宋" w:eastAsia="仿宋" w:cs="仿宋"/>
          <w:b/>
          <w:color w:val="auto"/>
          <w:sz w:val="24"/>
          <w:szCs w:val="21"/>
          <w:highlight w:val="none"/>
        </w:rPr>
      </w:pPr>
      <w:r>
        <w:rPr>
          <w:rFonts w:hint="eastAsia" w:ascii="仿宋" w:hAnsi="仿宋" w:eastAsia="仿宋" w:cs="仿宋"/>
          <w:color w:val="auto"/>
          <w:sz w:val="24"/>
          <w:szCs w:val="20"/>
          <w:highlight w:val="none"/>
        </w:rPr>
        <w:t>16.1交易有效期为从提交响应文件的截止之日起90天。▲</w:t>
      </w:r>
      <w:r>
        <w:rPr>
          <w:rFonts w:hint="eastAsia" w:ascii="仿宋" w:hAnsi="仿宋" w:eastAsia="仿宋" w:cs="仿宋"/>
          <w:b/>
          <w:color w:val="auto"/>
          <w:sz w:val="24"/>
          <w:szCs w:val="20"/>
          <w:highlight w:val="none"/>
        </w:rPr>
        <w:t>供应商的响应文件中承</w:t>
      </w:r>
      <w:r>
        <w:rPr>
          <w:rFonts w:hint="eastAsia" w:ascii="仿宋" w:hAnsi="仿宋" w:eastAsia="仿宋" w:cs="仿宋"/>
          <w:b/>
          <w:color w:val="auto"/>
          <w:sz w:val="24"/>
          <w:szCs w:val="21"/>
          <w:highlight w:val="none"/>
        </w:rPr>
        <w:t>诺的交易有效期少于交易文件中载明的交易有效期的，交易无效。</w:t>
      </w:r>
    </w:p>
    <w:p w14:paraId="02382E0A">
      <w:pPr>
        <w:pStyle w:val="218"/>
        <w:spacing w:before="0"/>
        <w:ind w:firstLine="480"/>
        <w:rPr>
          <w:rFonts w:ascii="仿宋" w:hAnsi="仿宋" w:eastAsia="仿宋" w:cs="仿宋"/>
          <w:color w:val="auto"/>
          <w:highlight w:val="none"/>
        </w:rPr>
      </w:pPr>
      <w:r>
        <w:rPr>
          <w:rFonts w:hint="eastAsia" w:ascii="仿宋" w:hAnsi="仿宋" w:eastAsia="仿宋" w:cs="仿宋"/>
          <w:color w:val="auto"/>
          <w:highlight w:val="none"/>
        </w:rPr>
        <w:t>16.2响应文件合格投递后，自投标截止日期起，在交易有效期内有效。</w:t>
      </w:r>
    </w:p>
    <w:p w14:paraId="4295007C">
      <w:pPr>
        <w:pStyle w:val="218"/>
        <w:spacing w:before="0"/>
        <w:ind w:firstLine="480"/>
        <w:rPr>
          <w:rFonts w:ascii="仿宋" w:hAnsi="仿宋" w:eastAsia="仿宋" w:cs="仿宋"/>
          <w:color w:val="auto"/>
          <w:highlight w:val="none"/>
        </w:rPr>
      </w:pPr>
      <w:r>
        <w:rPr>
          <w:rFonts w:hint="eastAsia" w:ascii="仿宋" w:hAnsi="仿宋" w:eastAsia="仿宋" w:cs="仿宋"/>
          <w:color w:val="auto"/>
          <w:highlight w:val="none"/>
        </w:rPr>
        <w:t>16.3在原定交易有效期满之前，如果出现特殊情况，采购机构可以以书面形式通知供应商延长交易有效期。供应商同意延长的，不得要求或被允许修改其响应文件，供应商拒绝延长的，其交易无效。</w:t>
      </w:r>
    </w:p>
    <w:p w14:paraId="11129057">
      <w:pPr>
        <w:pStyle w:val="218"/>
        <w:spacing w:before="0"/>
        <w:ind w:firstLine="643"/>
        <w:rPr>
          <w:rFonts w:ascii="仿宋" w:hAnsi="仿宋" w:eastAsia="仿宋" w:cs="仿宋"/>
          <w:b/>
          <w:color w:val="auto"/>
          <w:sz w:val="32"/>
          <w:highlight w:val="none"/>
        </w:rPr>
      </w:pPr>
    </w:p>
    <w:p w14:paraId="4DD4D98B">
      <w:pPr>
        <w:pStyle w:val="218"/>
        <w:spacing w:before="0"/>
        <w:ind w:firstLine="0" w:firstLineChars="0"/>
        <w:jc w:val="center"/>
        <w:rPr>
          <w:rFonts w:ascii="仿宋" w:hAnsi="仿宋" w:eastAsia="仿宋" w:cs="仿宋"/>
          <w:b/>
          <w:color w:val="auto"/>
          <w:sz w:val="32"/>
          <w:highlight w:val="none"/>
        </w:rPr>
      </w:pPr>
      <w:r>
        <w:rPr>
          <w:rFonts w:hint="eastAsia" w:ascii="仿宋" w:hAnsi="仿宋" w:eastAsia="仿宋" w:cs="仿宋"/>
          <w:b/>
          <w:color w:val="auto"/>
          <w:sz w:val="32"/>
          <w:highlight w:val="none"/>
        </w:rPr>
        <w:t>四、交易、资格审查</w:t>
      </w:r>
    </w:p>
    <w:p w14:paraId="27D9D69B">
      <w:pPr>
        <w:pStyle w:val="499"/>
        <w:spacing w:before="0" w:line="360" w:lineRule="auto"/>
        <w:ind w:left="0" w:firstLine="241" w:firstLineChars="100"/>
        <w:contextualSpacing/>
        <w:rPr>
          <w:rFonts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 xml:space="preserve">17.交易 </w:t>
      </w:r>
    </w:p>
    <w:p w14:paraId="29D7A041">
      <w:pPr>
        <w:pStyle w:val="499"/>
        <w:spacing w:before="0" w:line="360" w:lineRule="auto"/>
        <w:ind w:left="0" w:firstLine="480" w:firstLineChars="200"/>
        <w:contextualSpacing/>
        <w:rPr>
          <w:rFonts w:ascii="仿宋" w:hAnsi="仿宋" w:eastAsia="仿宋" w:cs="仿宋"/>
          <w:color w:val="auto"/>
          <w:sz w:val="24"/>
          <w:highlight w:val="none"/>
        </w:rPr>
      </w:pPr>
      <w:r>
        <w:rPr>
          <w:rFonts w:hint="eastAsia" w:ascii="仿宋" w:hAnsi="仿宋" w:eastAsia="仿宋" w:cs="仿宋"/>
          <w:color w:val="auto"/>
          <w:sz w:val="24"/>
          <w:highlight w:val="none"/>
        </w:rPr>
        <w:t>17.1采购机构按照交易文件规定的时间通过电子交易平台组织交易，所有供应商均应当准时在线参加。供应商不足3家的，不得交易。</w:t>
      </w:r>
    </w:p>
    <w:p w14:paraId="1EA0208E">
      <w:pPr>
        <w:pStyle w:val="499"/>
        <w:spacing w:before="0" w:line="360" w:lineRule="auto"/>
        <w:ind w:left="0" w:firstLine="240" w:firstLineChars="100"/>
        <w:contextualSpacing/>
        <w:rPr>
          <w:rFonts w:ascii="仿宋" w:hAnsi="仿宋" w:eastAsia="仿宋" w:cs="仿宋"/>
          <w:color w:val="auto"/>
          <w:sz w:val="24"/>
          <w:highlight w:val="none"/>
        </w:rPr>
      </w:pPr>
      <w:r>
        <w:rPr>
          <w:rFonts w:hint="eastAsia" w:ascii="仿宋" w:hAnsi="仿宋" w:eastAsia="仿宋" w:cs="仿宋"/>
          <w:color w:val="auto"/>
          <w:sz w:val="24"/>
          <w:highlight w:val="none"/>
        </w:rPr>
        <w:t>　17.2交易时，电子交易平台按交易时间自动提取所有响应文件。采购机构依托电子交易平台发起开始解密指令，供应商按照平台提示和交易文件的规定在半小时内完成在线解密。</w:t>
      </w:r>
    </w:p>
    <w:p w14:paraId="720EE115">
      <w:pPr>
        <w:pStyle w:val="499"/>
        <w:spacing w:before="0" w:line="360" w:lineRule="auto"/>
        <w:ind w:left="0" w:firstLine="240" w:firstLineChars="100"/>
        <w:contextualSpacing/>
        <w:rPr>
          <w:rFonts w:ascii="仿宋" w:hAnsi="仿宋" w:eastAsia="仿宋" w:cs="仿宋"/>
          <w:b/>
          <w:color w:val="auto"/>
          <w:sz w:val="24"/>
          <w:highlight w:val="none"/>
        </w:rPr>
      </w:pPr>
      <w:r>
        <w:rPr>
          <w:rFonts w:hint="eastAsia" w:ascii="仿宋" w:hAnsi="仿宋" w:eastAsia="仿宋" w:cs="仿宋"/>
          <w:color w:val="auto"/>
          <w:sz w:val="24"/>
          <w:highlight w:val="none"/>
        </w:rPr>
        <w:t>　17.3</w:t>
      </w:r>
      <w:r>
        <w:rPr>
          <w:rFonts w:hint="eastAsia" w:ascii="仿宋" w:hAnsi="仿宋" w:eastAsia="仿宋" w:cs="仿宋"/>
          <w:b/>
          <w:color w:val="auto"/>
          <w:sz w:val="24"/>
          <w:highlight w:val="none"/>
        </w:rPr>
        <w:t>响应文件未按时解密，供应商提供了备份响应文件的，以备份响应文件作为依据，否则视为响应文件撤回。响应文件已按时解密的，备份响应文件自动失效。</w:t>
      </w:r>
    </w:p>
    <w:p w14:paraId="39EF6DE2">
      <w:pPr>
        <w:widowControl/>
        <w:spacing w:before="100" w:beforeAutospacing="1" w:after="240" w:line="360" w:lineRule="auto"/>
        <w:jc w:val="lef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18、资格审查</w:t>
      </w:r>
    </w:p>
    <w:p w14:paraId="223EC6BA">
      <w:pPr>
        <w:pStyle w:val="218"/>
        <w:spacing w:before="0"/>
        <w:ind w:firstLine="480"/>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18.1交易后，交易发起人或采购机构将依法对供应商的资格进行审查。</w:t>
      </w:r>
    </w:p>
    <w:p w14:paraId="38DCB6CB">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kern w:val="0"/>
          <w:sz w:val="24"/>
          <w:highlight w:val="none"/>
        </w:rPr>
        <w:t>18.2</w:t>
      </w:r>
      <w:r>
        <w:rPr>
          <w:rFonts w:hint="eastAsia" w:ascii="仿宋" w:hAnsi="仿宋" w:eastAsia="仿宋" w:cs="仿宋"/>
          <w:color w:val="auto"/>
          <w:sz w:val="24"/>
          <w:highlight w:val="none"/>
        </w:rPr>
        <w:t>交易发起人或采购机构依据法律法规和交易文件的规定，对供应商的基本资格条件、特定资格条件进行审查。</w:t>
      </w:r>
    </w:p>
    <w:p w14:paraId="5D5B4510">
      <w:pPr>
        <w:pStyle w:val="218"/>
        <w:spacing w:before="0"/>
        <w:ind w:firstLine="480"/>
        <w:rPr>
          <w:rFonts w:ascii="仿宋" w:hAnsi="仿宋" w:eastAsia="仿宋" w:cs="仿宋"/>
          <w:color w:val="auto"/>
          <w:highlight w:val="none"/>
        </w:rPr>
      </w:pPr>
      <w:r>
        <w:rPr>
          <w:rFonts w:hint="eastAsia" w:ascii="仿宋" w:hAnsi="仿宋" w:eastAsia="仿宋" w:cs="仿宋"/>
          <w:color w:val="auto"/>
          <w:kern w:val="0"/>
          <w:szCs w:val="24"/>
          <w:highlight w:val="none"/>
        </w:rPr>
        <w:t>18.3供应商未按照交易文件要求提供与</w:t>
      </w:r>
      <w:r>
        <w:rPr>
          <w:rFonts w:hint="eastAsia" w:ascii="仿宋" w:hAnsi="仿宋" w:eastAsia="仿宋" w:cs="仿宋"/>
          <w:color w:val="auto"/>
          <w:highlight w:val="none"/>
        </w:rPr>
        <w:t>基本资格条件、特定资格条件相应的</w:t>
      </w:r>
      <w:r>
        <w:rPr>
          <w:rFonts w:hint="eastAsia" w:ascii="仿宋" w:hAnsi="仿宋" w:eastAsia="仿宋" w:cs="仿宋"/>
          <w:color w:val="auto"/>
          <w:kern w:val="0"/>
          <w:szCs w:val="24"/>
          <w:highlight w:val="none"/>
        </w:rPr>
        <w:t>有效资格证明材料的，视为</w:t>
      </w:r>
      <w:r>
        <w:rPr>
          <w:rFonts w:hint="eastAsia" w:ascii="仿宋" w:hAnsi="仿宋" w:eastAsia="仿宋" w:cs="仿宋"/>
          <w:color w:val="auto"/>
          <w:highlight w:val="none"/>
        </w:rPr>
        <w:t>供应商不具备交易文件中规定的资格要求，其交易无效。</w:t>
      </w:r>
    </w:p>
    <w:p w14:paraId="618DF6D0">
      <w:pPr>
        <w:pStyle w:val="218"/>
        <w:spacing w:before="0"/>
        <w:ind w:firstLine="480"/>
        <w:rPr>
          <w:rFonts w:ascii="仿宋" w:hAnsi="仿宋" w:eastAsia="仿宋" w:cs="仿宋"/>
          <w:color w:val="auto"/>
          <w:highlight w:val="none"/>
        </w:rPr>
      </w:pPr>
      <w:r>
        <w:rPr>
          <w:rFonts w:hint="eastAsia" w:ascii="仿宋" w:hAnsi="仿宋" w:eastAsia="仿宋" w:cs="仿宋"/>
          <w:color w:val="auto"/>
          <w:kern w:val="0"/>
          <w:szCs w:val="24"/>
          <w:highlight w:val="none"/>
        </w:rPr>
        <w:t>18.</w:t>
      </w:r>
      <w:r>
        <w:rPr>
          <w:rFonts w:hint="eastAsia" w:ascii="仿宋" w:hAnsi="仿宋" w:eastAsia="仿宋" w:cs="仿宋"/>
          <w:color w:val="auto"/>
          <w:highlight w:val="none"/>
        </w:rPr>
        <w:t>4对未通过资格审查的供应商，交易发起人或采购机构告知其未通过的原因。</w:t>
      </w:r>
    </w:p>
    <w:p w14:paraId="56337019">
      <w:pPr>
        <w:pStyle w:val="218"/>
        <w:spacing w:before="0"/>
        <w:ind w:firstLine="480"/>
        <w:rPr>
          <w:rFonts w:ascii="仿宋" w:hAnsi="仿宋" w:eastAsia="仿宋" w:cs="仿宋"/>
          <w:color w:val="auto"/>
          <w:highlight w:val="none"/>
        </w:rPr>
      </w:pPr>
      <w:r>
        <w:rPr>
          <w:rFonts w:hint="eastAsia" w:ascii="仿宋" w:hAnsi="仿宋" w:eastAsia="仿宋" w:cs="仿宋"/>
          <w:color w:val="auto"/>
          <w:kern w:val="0"/>
          <w:szCs w:val="24"/>
          <w:highlight w:val="none"/>
        </w:rPr>
        <w:t>18.</w:t>
      </w:r>
      <w:r>
        <w:rPr>
          <w:rFonts w:hint="eastAsia" w:ascii="仿宋" w:hAnsi="仿宋" w:eastAsia="仿宋" w:cs="仿宋"/>
          <w:color w:val="auto"/>
          <w:highlight w:val="none"/>
        </w:rPr>
        <w:t>5合格供应商不足3家的，不再评标。</w:t>
      </w:r>
    </w:p>
    <w:p w14:paraId="2B688255">
      <w:pPr>
        <w:pStyle w:val="218"/>
        <w:spacing w:before="0"/>
        <w:ind w:firstLine="0" w:firstLineChars="0"/>
        <w:rPr>
          <w:rFonts w:ascii="仿宋" w:hAnsi="仿宋" w:eastAsia="仿宋" w:cs="仿宋"/>
          <w:color w:val="auto"/>
          <w:kern w:val="0"/>
          <w:szCs w:val="24"/>
          <w:highlight w:val="none"/>
        </w:rPr>
      </w:pPr>
    </w:p>
    <w:p w14:paraId="75E4F100">
      <w:pPr>
        <w:snapToGrid w:val="0"/>
        <w:spacing w:line="360" w:lineRule="auto"/>
        <w:jc w:val="center"/>
        <w:outlineLvl w:val="0"/>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五、评审</w:t>
      </w:r>
    </w:p>
    <w:p w14:paraId="6B6FC19F">
      <w:pPr>
        <w:spacing w:line="360" w:lineRule="auto"/>
        <w:rPr>
          <w:rFonts w:ascii="仿宋" w:hAnsi="仿宋" w:eastAsia="仿宋" w:cs="仿宋"/>
          <w:b/>
          <w:color w:val="auto"/>
          <w:sz w:val="24"/>
          <w:highlight w:val="none"/>
        </w:rPr>
      </w:pPr>
      <w:bookmarkStart w:id="39" w:name="_Toc91899903"/>
      <w:r>
        <w:rPr>
          <w:rFonts w:hint="eastAsia" w:ascii="仿宋" w:hAnsi="仿宋" w:eastAsia="仿宋" w:cs="仿宋"/>
          <w:b/>
          <w:color w:val="auto"/>
          <w:sz w:val="24"/>
          <w:highlight w:val="none"/>
        </w:rPr>
        <w:t>19.</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评标委员会将根据交易文件和有关规定，履行评标工作职责，并按照评标方法及评分标准，全面衡量各供应商对交易文件的响应情况。对实质上响应交易文件的供应商，按照评审因素的指标排出推荐成交的供应商的先后顺序，并按顺序提出授标建议。</w:t>
      </w:r>
      <w:r>
        <w:rPr>
          <w:rFonts w:hint="eastAsia" w:ascii="仿宋" w:hAnsi="仿宋" w:eastAsia="仿宋" w:cs="仿宋"/>
          <w:b/>
          <w:color w:val="auto"/>
          <w:sz w:val="24"/>
          <w:highlight w:val="none"/>
        </w:rPr>
        <w:t>详见交易文件第四部分交易办法。</w:t>
      </w:r>
    </w:p>
    <w:p w14:paraId="5266318B">
      <w:pPr>
        <w:spacing w:line="360" w:lineRule="auto"/>
        <w:rPr>
          <w:rFonts w:ascii="仿宋" w:hAnsi="仿宋" w:eastAsia="仿宋" w:cs="仿宋"/>
          <w:b/>
          <w:color w:val="auto"/>
          <w:sz w:val="24"/>
          <w:highlight w:val="none"/>
        </w:rPr>
      </w:pPr>
    </w:p>
    <w:p w14:paraId="42739523">
      <w:pPr>
        <w:snapToGrid w:val="0"/>
        <w:spacing w:line="360" w:lineRule="auto"/>
        <w:jc w:val="center"/>
        <w:outlineLvl w:val="0"/>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六、定 标</w:t>
      </w:r>
    </w:p>
    <w:p w14:paraId="7544145C">
      <w:pPr>
        <w:pStyle w:val="24"/>
        <w:spacing w:line="360" w:lineRule="auto"/>
        <w:ind w:left="479" w:hanging="479" w:hangingChars="199"/>
        <w:rPr>
          <w:rFonts w:ascii="仿宋" w:hAnsi="仿宋" w:eastAsia="仿宋" w:cs="仿宋"/>
          <w:b/>
          <w:color w:val="auto"/>
          <w:highlight w:val="none"/>
        </w:rPr>
      </w:pPr>
      <w:r>
        <w:rPr>
          <w:rFonts w:hint="eastAsia" w:ascii="仿宋" w:hAnsi="仿宋" w:eastAsia="仿宋" w:cs="仿宋"/>
          <w:b/>
          <w:color w:val="auto"/>
          <w:highlight w:val="none"/>
        </w:rPr>
        <w:t>20. 确定成交供应商</w:t>
      </w:r>
    </w:p>
    <w:p w14:paraId="3AC570A0">
      <w:pPr>
        <w:pStyle w:val="218"/>
        <w:snapToGrid w:val="0"/>
        <w:spacing w:before="0"/>
        <w:ind w:firstLine="480"/>
        <w:rPr>
          <w:rFonts w:ascii="仿宋" w:hAnsi="仿宋" w:eastAsia="仿宋" w:cs="仿宋"/>
          <w:b/>
          <w:color w:val="auto"/>
          <w:szCs w:val="24"/>
          <w:highlight w:val="none"/>
        </w:rPr>
      </w:pPr>
      <w:r>
        <w:rPr>
          <w:rFonts w:hint="eastAsia" w:ascii="仿宋" w:hAnsi="仿宋" w:eastAsia="仿宋" w:cs="仿宋"/>
          <w:color w:val="auto"/>
          <w:szCs w:val="24"/>
          <w:highlight w:val="none"/>
        </w:rPr>
        <w:t>交易发起人将自收到评审报告之日起5个工作日内通过电子交易平台在评审报告推荐的成交候选人中按顺序确定成交供应商。</w:t>
      </w:r>
    </w:p>
    <w:p w14:paraId="6F6B81D9">
      <w:pPr>
        <w:pStyle w:val="218"/>
        <w:snapToGrid w:val="0"/>
        <w:spacing w:before="0"/>
        <w:ind w:firstLine="0" w:firstLineChars="0"/>
        <w:rPr>
          <w:rFonts w:ascii="仿宋" w:hAnsi="仿宋" w:eastAsia="仿宋" w:cs="仿宋"/>
          <w:b/>
          <w:color w:val="auto"/>
          <w:szCs w:val="24"/>
          <w:highlight w:val="none"/>
        </w:rPr>
      </w:pPr>
      <w:r>
        <w:rPr>
          <w:rFonts w:hint="eastAsia" w:ascii="仿宋" w:hAnsi="仿宋" w:eastAsia="仿宋" w:cs="仿宋"/>
          <w:b/>
          <w:color w:val="auto"/>
          <w:szCs w:val="24"/>
          <w:highlight w:val="none"/>
        </w:rPr>
        <w:t>21. 成交通知与成交结果公告</w:t>
      </w:r>
    </w:p>
    <w:p w14:paraId="43061684">
      <w:pPr>
        <w:widowControl/>
        <w:shd w:val="clear" w:color="auto" w:fill="FFFFFF"/>
        <w:spacing w:line="360" w:lineRule="auto"/>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21.1自成交人确定之日起2个工作日内，采购机构通过电子交易平台向成交人发出成交通知书，同时编制发布采购结果公告。采购机构也可以以纸质形式进行成交通知。</w:t>
      </w:r>
    </w:p>
    <w:p w14:paraId="47B5AD12">
      <w:pPr>
        <w:widowControl/>
        <w:shd w:val="clear" w:color="auto" w:fill="FFFFFF"/>
        <w:spacing w:line="360" w:lineRule="auto"/>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21.2成交结果公告内容包括交易发起人及其委托的采购机构的名称、地址、联系方式，项目名称和项目编号，成交人名称、地址和成交金额，主要成交标的的名称、规格型号、数量、单价、服务要求、成交公告期限以及评审专家名单、评分汇总及明细。</w:t>
      </w:r>
    </w:p>
    <w:p w14:paraId="38A73BEE">
      <w:pPr>
        <w:widowControl/>
        <w:shd w:val="clear" w:color="auto" w:fill="FFFFFF"/>
        <w:spacing w:line="360" w:lineRule="auto"/>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21.3公告期限为1个工作日。</w:t>
      </w:r>
    </w:p>
    <w:p w14:paraId="2EA88A44">
      <w:pPr>
        <w:snapToGrid w:val="0"/>
        <w:spacing w:line="360" w:lineRule="auto"/>
        <w:ind w:left="120" w:leftChars="57" w:firstLine="482" w:firstLineChars="150"/>
        <w:jc w:val="center"/>
        <w:rPr>
          <w:rFonts w:ascii="仿宋" w:hAnsi="仿宋" w:eastAsia="仿宋" w:cs="仿宋"/>
          <w:b/>
          <w:color w:val="auto"/>
          <w:sz w:val="32"/>
          <w:highlight w:val="none"/>
        </w:rPr>
      </w:pPr>
      <w:r>
        <w:rPr>
          <w:rFonts w:hint="eastAsia" w:ascii="仿宋" w:hAnsi="仿宋" w:eastAsia="仿宋" w:cs="仿宋"/>
          <w:b/>
          <w:color w:val="auto"/>
          <w:sz w:val="32"/>
          <w:highlight w:val="none"/>
        </w:rPr>
        <w:t>七、合同授予</w:t>
      </w:r>
    </w:p>
    <w:p w14:paraId="7ECDD898">
      <w:pPr>
        <w:pStyle w:val="24"/>
        <w:spacing w:line="360" w:lineRule="auto"/>
        <w:ind w:left="479" w:hanging="479" w:hangingChars="199"/>
        <w:rPr>
          <w:rFonts w:ascii="仿宋" w:hAnsi="仿宋" w:eastAsia="仿宋" w:cs="仿宋"/>
          <w:b/>
          <w:color w:val="auto"/>
          <w:highlight w:val="none"/>
        </w:rPr>
      </w:pPr>
      <w:r>
        <w:rPr>
          <w:rFonts w:hint="eastAsia" w:ascii="仿宋" w:hAnsi="仿宋" w:eastAsia="仿宋" w:cs="仿宋"/>
          <w:b/>
          <w:color w:val="auto"/>
          <w:highlight w:val="none"/>
        </w:rPr>
        <w:t xml:space="preserve">22. </w:t>
      </w:r>
      <w:r>
        <w:rPr>
          <w:rFonts w:hint="eastAsia" w:ascii="仿宋" w:hAnsi="仿宋" w:eastAsia="仿宋" w:cs="仿宋"/>
          <w:color w:val="auto"/>
          <w:highlight w:val="none"/>
        </w:rPr>
        <w:t>合同主要条款详见第五部分拟签订的合同文本。</w:t>
      </w:r>
    </w:p>
    <w:p w14:paraId="0C394134">
      <w:pPr>
        <w:pStyle w:val="24"/>
        <w:spacing w:line="360" w:lineRule="auto"/>
        <w:ind w:left="479" w:hanging="479" w:hangingChars="199"/>
        <w:rPr>
          <w:rFonts w:ascii="仿宋" w:hAnsi="仿宋" w:eastAsia="仿宋" w:cs="仿宋"/>
          <w:b/>
          <w:color w:val="auto"/>
          <w:highlight w:val="none"/>
        </w:rPr>
      </w:pPr>
      <w:r>
        <w:rPr>
          <w:rFonts w:hint="eastAsia" w:ascii="仿宋" w:hAnsi="仿宋" w:eastAsia="仿宋" w:cs="仿宋"/>
          <w:b/>
          <w:color w:val="auto"/>
          <w:highlight w:val="none"/>
        </w:rPr>
        <w:t>23. 合同的签订</w:t>
      </w:r>
    </w:p>
    <w:p w14:paraId="2F0E1A19">
      <w:pPr>
        <w:widowControl/>
        <w:shd w:val="clear" w:color="auto" w:fill="FFFFFF"/>
        <w:spacing w:line="360" w:lineRule="auto"/>
        <w:ind w:firstLine="480"/>
        <w:jc w:val="left"/>
        <w:rPr>
          <w:rFonts w:ascii="仿宋" w:hAnsi="仿宋" w:eastAsia="仿宋" w:cs="仿宋"/>
          <w:color w:val="auto"/>
          <w:kern w:val="0"/>
          <w:sz w:val="24"/>
          <w:highlight w:val="none"/>
        </w:rPr>
      </w:pPr>
      <w:r>
        <w:rPr>
          <w:rFonts w:hint="eastAsia" w:ascii="仿宋" w:hAnsi="仿宋" w:eastAsia="仿宋" w:cs="仿宋"/>
          <w:color w:val="auto"/>
          <w:sz w:val="24"/>
          <w:highlight w:val="none"/>
        </w:rPr>
        <w:t>23.1</w:t>
      </w:r>
      <w:r>
        <w:rPr>
          <w:rFonts w:hint="eastAsia" w:ascii="仿宋" w:hAnsi="仿宋" w:eastAsia="仿宋" w:cs="仿宋"/>
          <w:color w:val="auto"/>
          <w:kern w:val="0"/>
          <w:sz w:val="24"/>
          <w:highlight w:val="none"/>
        </w:rPr>
        <w:t xml:space="preserve"> 交易发起人与成交人应当通过电子交易平台在成交通知书发出之日起三十日内，按照交易文件确定的事项签订采购合同，并在合同签订之日起2个工作日内依法发布合同公告。</w:t>
      </w:r>
    </w:p>
    <w:p w14:paraId="0291E86A">
      <w:pPr>
        <w:pStyle w:val="218"/>
        <w:snapToGrid w:val="0"/>
        <w:spacing w:before="0"/>
        <w:ind w:firstLine="480"/>
        <w:rPr>
          <w:rFonts w:ascii="仿宋" w:hAnsi="仿宋" w:eastAsia="仿宋" w:cs="仿宋"/>
          <w:color w:val="auto"/>
          <w:kern w:val="0"/>
          <w:highlight w:val="none"/>
        </w:rPr>
      </w:pPr>
      <w:r>
        <w:rPr>
          <w:rFonts w:hint="eastAsia" w:ascii="仿宋" w:hAnsi="仿宋" w:eastAsia="仿宋" w:cs="仿宋"/>
          <w:color w:val="auto"/>
          <w:kern w:val="0"/>
          <w:highlight w:val="none"/>
          <w:lang w:val="zh-CN"/>
        </w:rPr>
        <w:t>2</w:t>
      </w:r>
      <w:r>
        <w:rPr>
          <w:rFonts w:hint="eastAsia" w:ascii="仿宋" w:hAnsi="仿宋" w:eastAsia="仿宋" w:cs="仿宋"/>
          <w:color w:val="auto"/>
          <w:kern w:val="0"/>
          <w:highlight w:val="none"/>
        </w:rPr>
        <w:t>3</w:t>
      </w:r>
      <w:r>
        <w:rPr>
          <w:rFonts w:hint="eastAsia" w:ascii="仿宋" w:hAnsi="仿宋" w:eastAsia="仿宋" w:cs="仿宋"/>
          <w:color w:val="auto"/>
          <w:kern w:val="0"/>
          <w:highlight w:val="none"/>
          <w:lang w:val="zh-CN"/>
        </w:rPr>
        <w:t>.2成交人按规定的日期、时间、地点，由法定代表人或其授权代表与交易发起人代表签订合同。如成交人为联合体的，由联合体成员各方法定代表人或其授权代表与交易发起人代表签订合同。</w:t>
      </w:r>
    </w:p>
    <w:p w14:paraId="1BD14F29">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23.3如签订合同并生效后，供应商无故拒绝或延期，除按照合同条款处理外，列入不良行为记录一次，并给予通报。</w:t>
      </w:r>
    </w:p>
    <w:p w14:paraId="12555A3D">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23.4成交供应商拒绝与交易发起人签订合同的，交易发起人可以按照评审报告推荐的成交或者成交候选人名单排序，确定下一候选人为成交供应商，也可以重新开展采购活动。</w:t>
      </w:r>
    </w:p>
    <w:p w14:paraId="04D0DA21">
      <w:pPr>
        <w:pStyle w:val="218"/>
        <w:snapToGrid w:val="0"/>
        <w:spacing w:before="0" w:after="120"/>
        <w:ind w:firstLine="480"/>
        <w:rPr>
          <w:rFonts w:ascii="仿宋" w:hAnsi="仿宋" w:eastAsia="仿宋" w:cs="仿宋"/>
          <w:color w:val="auto"/>
          <w:highlight w:val="none"/>
        </w:rPr>
      </w:pPr>
      <w:r>
        <w:rPr>
          <w:rFonts w:hint="eastAsia" w:ascii="仿宋" w:hAnsi="仿宋" w:eastAsia="仿宋" w:cs="仿宋"/>
          <w:color w:val="auto"/>
          <w:highlight w:val="none"/>
        </w:rPr>
        <w:t>23.5采购合同由交易发起人与成交供应商根据交易文件、响应文件等内容通过政府采购电子交易平台在线签订，自动备案。</w:t>
      </w:r>
    </w:p>
    <w:p w14:paraId="35118F87">
      <w:pPr>
        <w:pStyle w:val="24"/>
        <w:spacing w:line="360" w:lineRule="auto"/>
        <w:ind w:left="479" w:hanging="479" w:hangingChars="199"/>
        <w:rPr>
          <w:rFonts w:ascii="仿宋" w:hAnsi="仿宋" w:eastAsia="仿宋" w:cs="仿宋"/>
          <w:b/>
          <w:color w:val="auto"/>
          <w:highlight w:val="none"/>
        </w:rPr>
      </w:pPr>
      <w:r>
        <w:rPr>
          <w:rFonts w:hint="eastAsia" w:ascii="仿宋" w:hAnsi="仿宋" w:eastAsia="仿宋" w:cs="仿宋"/>
          <w:b/>
          <w:color w:val="auto"/>
          <w:highlight w:val="none"/>
        </w:rPr>
        <w:t>24.履约保证金</w:t>
      </w:r>
    </w:p>
    <w:p w14:paraId="161AB80D">
      <w:pPr>
        <w:tabs>
          <w:tab w:val="left" w:pos="0"/>
        </w:tabs>
        <w:spacing w:line="360" w:lineRule="auto"/>
        <w:ind w:firstLine="482"/>
        <w:rPr>
          <w:rFonts w:ascii="仿宋" w:hAnsi="仿宋" w:eastAsia="仿宋" w:cs="仿宋"/>
          <w:b/>
          <w:color w:val="auto"/>
          <w:sz w:val="32"/>
          <w:highlight w:val="none"/>
        </w:rPr>
      </w:pPr>
      <w:r>
        <w:rPr>
          <w:rFonts w:hint="eastAsia" w:ascii="仿宋" w:hAnsi="仿宋" w:eastAsia="仿宋" w:cs="仿宋"/>
          <w:color w:val="auto"/>
          <w:kern w:val="0"/>
          <w:sz w:val="24"/>
          <w:highlight w:val="none"/>
        </w:rPr>
        <w:t>拟签订的合同文本要求成交供应商提交履约保证金的，供应商应当以支票、汇票、本票或者金融机构、担保机构出具的保函等非现金形式提交</w:t>
      </w:r>
      <w:r>
        <w:rPr>
          <w:rFonts w:hint="eastAsia" w:ascii="仿宋" w:hAnsi="仿宋" w:eastAsia="仿宋" w:cs="仿宋"/>
          <w:color w:val="auto"/>
          <w:sz w:val="24"/>
          <w:highlight w:val="none"/>
        </w:rPr>
        <w:t>。履约保证金的数额不得超过采购合同金额的1%。鼓励和支持供应商以银行、保险公司出具的保函形式提供履约保证金。</w:t>
      </w:r>
    </w:p>
    <w:p w14:paraId="297A3FE4">
      <w:pPr>
        <w:snapToGrid w:val="0"/>
        <w:spacing w:line="360" w:lineRule="auto"/>
        <w:ind w:firstLine="3357" w:firstLineChars="1045"/>
        <w:rPr>
          <w:rFonts w:ascii="仿宋" w:hAnsi="仿宋" w:eastAsia="仿宋" w:cs="仿宋"/>
          <w:b/>
          <w:color w:val="auto"/>
          <w:sz w:val="24"/>
          <w:highlight w:val="none"/>
        </w:rPr>
      </w:pPr>
      <w:r>
        <w:rPr>
          <w:rFonts w:hint="eastAsia" w:ascii="仿宋" w:hAnsi="仿宋" w:eastAsia="仿宋" w:cs="仿宋"/>
          <w:b/>
          <w:color w:val="auto"/>
          <w:sz w:val="32"/>
          <w:highlight w:val="none"/>
        </w:rPr>
        <w:t>八、电子交易活动的中止</w:t>
      </w:r>
    </w:p>
    <w:p w14:paraId="683CE71C">
      <w:pPr>
        <w:pStyle w:val="218"/>
        <w:snapToGrid w:val="0"/>
        <w:spacing w:before="0"/>
        <w:ind w:firstLine="0" w:firstLineChars="0"/>
        <w:rPr>
          <w:rFonts w:ascii="仿宋" w:hAnsi="仿宋" w:eastAsia="仿宋" w:cs="仿宋"/>
          <w:color w:val="auto"/>
          <w:highlight w:val="none"/>
        </w:rPr>
      </w:pPr>
      <w:r>
        <w:rPr>
          <w:rFonts w:hint="eastAsia" w:ascii="仿宋" w:hAnsi="仿宋" w:eastAsia="仿宋" w:cs="仿宋"/>
          <w:b/>
          <w:bCs/>
          <w:color w:val="auto"/>
          <w:highlight w:val="none"/>
        </w:rPr>
        <w:t>2</w:t>
      </w:r>
      <w:r>
        <w:rPr>
          <w:rFonts w:hint="eastAsia" w:ascii="仿宋" w:hAnsi="仿宋" w:eastAsia="仿宋" w:cs="仿宋"/>
          <w:b/>
          <w:color w:val="auto"/>
          <w:szCs w:val="24"/>
          <w:highlight w:val="none"/>
        </w:rPr>
        <w:t>5. 电子交易活动的中止。</w:t>
      </w:r>
      <w:r>
        <w:rPr>
          <w:rFonts w:hint="eastAsia" w:ascii="仿宋" w:hAnsi="仿宋" w:eastAsia="仿宋" w:cs="仿宋"/>
          <w:color w:val="auto"/>
          <w:highlight w:val="none"/>
        </w:rPr>
        <w:t>采购过程中出现以下情形，导致电子交易平台无法正常运行，或者无法保证电子交易的公平、公正和安全时，采购机构可中止电子交易活动：</w:t>
      </w:r>
    </w:p>
    <w:p w14:paraId="299574CF">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 xml:space="preserve">25.1电子交易平台发生故障而无法登录访问的； </w:t>
      </w:r>
    </w:p>
    <w:p w14:paraId="4946D361">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25.2电子交易平台应用或数据库出现错误，不能进行正常操作的；</w:t>
      </w:r>
    </w:p>
    <w:p w14:paraId="16DC533D">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25.3电子交易平台发现严重安全漏洞，有潜在泄密危险的；</w:t>
      </w:r>
    </w:p>
    <w:p w14:paraId="1D367622">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 xml:space="preserve">25.4病毒发作导致不能进行正常操作的； </w:t>
      </w:r>
    </w:p>
    <w:p w14:paraId="2EB996B7">
      <w:pPr>
        <w:pStyle w:val="218"/>
        <w:snapToGrid w:val="0"/>
        <w:spacing w:before="0"/>
        <w:ind w:firstLine="480"/>
        <w:rPr>
          <w:rFonts w:ascii="仿宋" w:hAnsi="仿宋" w:eastAsia="仿宋" w:cs="仿宋"/>
          <w:color w:val="auto"/>
          <w:highlight w:val="none"/>
        </w:rPr>
      </w:pPr>
      <w:r>
        <w:rPr>
          <w:rFonts w:hint="eastAsia" w:ascii="仿宋" w:hAnsi="仿宋" w:eastAsia="仿宋" w:cs="仿宋"/>
          <w:color w:val="auto"/>
          <w:highlight w:val="none"/>
        </w:rPr>
        <w:t>25.5其他无法保证电子交易的公平、公正和安全的情况。</w:t>
      </w:r>
    </w:p>
    <w:p w14:paraId="65E66BE7">
      <w:pPr>
        <w:pStyle w:val="218"/>
        <w:snapToGrid w:val="0"/>
        <w:spacing w:before="0"/>
        <w:ind w:firstLine="0" w:firstLineChars="0"/>
        <w:rPr>
          <w:rFonts w:ascii="仿宋" w:hAnsi="仿宋" w:eastAsia="仿宋" w:cs="仿宋"/>
          <w:color w:val="auto"/>
          <w:highlight w:val="none"/>
        </w:rPr>
      </w:pPr>
      <w:r>
        <w:rPr>
          <w:rFonts w:hint="eastAsia" w:ascii="仿宋" w:hAnsi="仿宋" w:eastAsia="仿宋" w:cs="仿宋"/>
          <w:color w:val="auto"/>
          <w:highlight w:val="none"/>
        </w:rPr>
        <w:t xml:space="preserve"> 26.出现以上情形，不影响采购公平、公正性的，采购组织机构可以待上述情形消除后继续组织电子交易活动，也可以决定某些环节以纸质形式进行；影响或可能影响采购公平、公正性的，应当重新采购。</w:t>
      </w:r>
    </w:p>
    <w:p w14:paraId="6AF80CA0">
      <w:pPr>
        <w:snapToGrid w:val="0"/>
        <w:spacing w:line="360" w:lineRule="auto"/>
        <w:ind w:left="120" w:leftChars="57" w:firstLine="482" w:firstLineChars="150"/>
        <w:jc w:val="center"/>
        <w:rPr>
          <w:rFonts w:ascii="仿宋" w:hAnsi="仿宋" w:eastAsia="仿宋" w:cs="仿宋"/>
          <w:b/>
          <w:color w:val="auto"/>
          <w:sz w:val="32"/>
          <w:highlight w:val="none"/>
        </w:rPr>
      </w:pPr>
      <w:r>
        <w:rPr>
          <w:rFonts w:hint="eastAsia" w:ascii="仿宋" w:hAnsi="仿宋" w:eastAsia="仿宋" w:cs="仿宋"/>
          <w:b/>
          <w:color w:val="auto"/>
          <w:sz w:val="32"/>
          <w:highlight w:val="none"/>
        </w:rPr>
        <w:t>九、验收</w:t>
      </w:r>
    </w:p>
    <w:p w14:paraId="7FC7B032">
      <w:pPr>
        <w:pStyle w:val="24"/>
        <w:spacing w:line="360" w:lineRule="auto"/>
        <w:ind w:firstLine="0" w:firstLineChars="0"/>
        <w:rPr>
          <w:rFonts w:ascii="仿宋" w:hAnsi="仿宋" w:eastAsia="仿宋" w:cs="仿宋"/>
          <w:b/>
          <w:color w:val="auto"/>
          <w:highlight w:val="none"/>
        </w:rPr>
      </w:pPr>
      <w:r>
        <w:rPr>
          <w:rFonts w:hint="eastAsia" w:ascii="仿宋" w:hAnsi="仿宋" w:eastAsia="仿宋" w:cs="仿宋"/>
          <w:b/>
          <w:color w:val="auto"/>
          <w:highlight w:val="none"/>
        </w:rPr>
        <w:t>27.验收</w:t>
      </w:r>
    </w:p>
    <w:p w14:paraId="12CB6407">
      <w:pPr>
        <w:tabs>
          <w:tab w:val="left" w:pos="0"/>
        </w:tabs>
        <w:spacing w:line="360" w:lineRule="auto"/>
        <w:ind w:firstLine="480"/>
        <w:rPr>
          <w:rFonts w:ascii="仿宋" w:hAnsi="仿宋" w:eastAsia="仿宋" w:cs="仿宋"/>
          <w:b/>
          <w:color w:val="auto"/>
          <w:sz w:val="32"/>
          <w:szCs w:val="20"/>
          <w:highlight w:val="none"/>
        </w:rPr>
      </w:pPr>
      <w:r>
        <w:rPr>
          <w:rFonts w:hint="eastAsia" w:ascii="仿宋" w:hAnsi="仿宋" w:eastAsia="仿宋" w:cs="仿宋"/>
          <w:color w:val="auto"/>
          <w:kern w:val="0"/>
          <w:sz w:val="24"/>
          <w:highlight w:val="none"/>
        </w:rPr>
        <w:t>27.1交易发起人应当组织对供应商履约的验收。</w:t>
      </w:r>
      <w:bookmarkEnd w:id="39"/>
    </w:p>
    <w:bookmarkEnd w:id="37"/>
    <w:bookmarkEnd w:id="38"/>
    <w:p w14:paraId="68CDA162">
      <w:pPr>
        <w:pStyle w:val="2"/>
        <w:jc w:val="both"/>
        <w:rPr>
          <w:rFonts w:cs="仿宋"/>
          <w:color w:val="auto"/>
          <w:highlight w:val="none"/>
        </w:rPr>
      </w:pPr>
      <w:bookmarkStart w:id="40" w:name="第四部分"/>
    </w:p>
    <w:p w14:paraId="5F820D5F">
      <w:pPr>
        <w:pStyle w:val="2"/>
        <w:rPr>
          <w:rFonts w:cs="仿宋"/>
          <w:color w:val="auto"/>
          <w:highlight w:val="none"/>
        </w:rPr>
      </w:pPr>
    </w:p>
    <w:p w14:paraId="2D69FC01">
      <w:pPr>
        <w:pStyle w:val="2"/>
        <w:rPr>
          <w:rFonts w:cs="仿宋"/>
          <w:color w:val="auto"/>
          <w:highlight w:val="none"/>
        </w:rPr>
      </w:pPr>
    </w:p>
    <w:p w14:paraId="615E89B3">
      <w:pPr>
        <w:rPr>
          <w:rFonts w:ascii="仿宋" w:hAnsi="仿宋" w:eastAsia="仿宋" w:cs="仿宋"/>
          <w:color w:val="auto"/>
          <w:highlight w:val="none"/>
        </w:rPr>
      </w:pPr>
    </w:p>
    <w:p w14:paraId="3EDB7EEC">
      <w:pPr>
        <w:pStyle w:val="60"/>
        <w:ind w:firstLine="420"/>
        <w:rPr>
          <w:rFonts w:ascii="仿宋" w:hAnsi="仿宋" w:eastAsia="仿宋" w:cs="仿宋"/>
          <w:color w:val="auto"/>
          <w:highlight w:val="none"/>
        </w:rPr>
      </w:pPr>
    </w:p>
    <w:p w14:paraId="3C21FE44">
      <w:pPr>
        <w:pStyle w:val="60"/>
        <w:ind w:firstLine="420"/>
        <w:rPr>
          <w:rFonts w:ascii="仿宋" w:hAnsi="仿宋" w:eastAsia="仿宋" w:cs="仿宋"/>
          <w:color w:val="auto"/>
          <w:highlight w:val="none"/>
        </w:rPr>
      </w:pPr>
    </w:p>
    <w:p w14:paraId="413B89DD">
      <w:pPr>
        <w:pStyle w:val="60"/>
        <w:ind w:firstLine="420"/>
        <w:rPr>
          <w:rFonts w:ascii="仿宋" w:hAnsi="仿宋" w:eastAsia="仿宋" w:cs="仿宋"/>
          <w:color w:val="auto"/>
          <w:highlight w:val="none"/>
        </w:rPr>
      </w:pPr>
    </w:p>
    <w:p w14:paraId="254A42DF">
      <w:pPr>
        <w:pStyle w:val="60"/>
        <w:ind w:firstLine="420"/>
        <w:rPr>
          <w:rFonts w:ascii="仿宋" w:hAnsi="仿宋" w:eastAsia="仿宋" w:cs="仿宋"/>
          <w:color w:val="auto"/>
          <w:highlight w:val="none"/>
        </w:rPr>
      </w:pPr>
    </w:p>
    <w:p w14:paraId="26445793">
      <w:pPr>
        <w:pStyle w:val="60"/>
        <w:ind w:firstLine="420"/>
        <w:rPr>
          <w:rFonts w:ascii="仿宋" w:hAnsi="仿宋" w:eastAsia="仿宋" w:cs="仿宋"/>
          <w:color w:val="auto"/>
          <w:highlight w:val="none"/>
        </w:rPr>
      </w:pPr>
    </w:p>
    <w:p w14:paraId="531F468F">
      <w:pPr>
        <w:pStyle w:val="60"/>
        <w:ind w:firstLine="420"/>
        <w:rPr>
          <w:rFonts w:ascii="仿宋" w:hAnsi="仿宋" w:eastAsia="仿宋" w:cs="仿宋"/>
          <w:color w:val="auto"/>
          <w:highlight w:val="none"/>
        </w:rPr>
      </w:pPr>
    </w:p>
    <w:p w14:paraId="3653649F">
      <w:pPr>
        <w:pStyle w:val="60"/>
        <w:ind w:firstLine="420"/>
        <w:rPr>
          <w:rFonts w:ascii="仿宋" w:hAnsi="仿宋" w:eastAsia="仿宋" w:cs="仿宋"/>
          <w:color w:val="auto"/>
          <w:highlight w:val="none"/>
        </w:rPr>
      </w:pPr>
    </w:p>
    <w:p w14:paraId="674F03B9">
      <w:pPr>
        <w:pStyle w:val="60"/>
        <w:ind w:firstLine="420"/>
        <w:rPr>
          <w:rFonts w:ascii="仿宋" w:hAnsi="仿宋" w:eastAsia="仿宋" w:cs="仿宋"/>
          <w:color w:val="auto"/>
          <w:highlight w:val="none"/>
        </w:rPr>
      </w:pPr>
    </w:p>
    <w:p w14:paraId="66A9B7D5">
      <w:pPr>
        <w:pStyle w:val="60"/>
        <w:ind w:firstLine="420"/>
        <w:rPr>
          <w:rFonts w:ascii="仿宋" w:hAnsi="仿宋" w:eastAsia="仿宋" w:cs="仿宋"/>
          <w:color w:val="auto"/>
          <w:highlight w:val="none"/>
        </w:rPr>
      </w:pPr>
    </w:p>
    <w:p w14:paraId="0B2212C7">
      <w:pPr>
        <w:pStyle w:val="60"/>
        <w:ind w:firstLine="420"/>
        <w:rPr>
          <w:rFonts w:ascii="仿宋" w:hAnsi="仿宋" w:eastAsia="仿宋" w:cs="仿宋"/>
          <w:color w:val="auto"/>
          <w:highlight w:val="none"/>
        </w:rPr>
      </w:pPr>
    </w:p>
    <w:p w14:paraId="78343612">
      <w:pPr>
        <w:pStyle w:val="60"/>
        <w:ind w:firstLine="420"/>
        <w:rPr>
          <w:rFonts w:ascii="仿宋" w:hAnsi="仿宋" w:eastAsia="仿宋" w:cs="仿宋"/>
          <w:color w:val="auto"/>
          <w:highlight w:val="none"/>
        </w:rPr>
      </w:pPr>
    </w:p>
    <w:p w14:paraId="7C2384AD">
      <w:pPr>
        <w:pStyle w:val="60"/>
        <w:ind w:firstLine="420"/>
        <w:rPr>
          <w:rFonts w:ascii="仿宋" w:hAnsi="仿宋" w:eastAsia="仿宋" w:cs="仿宋"/>
          <w:color w:val="auto"/>
          <w:highlight w:val="none"/>
        </w:rPr>
      </w:pPr>
    </w:p>
    <w:p w14:paraId="6E929206">
      <w:pPr>
        <w:pStyle w:val="60"/>
        <w:ind w:firstLine="420"/>
        <w:rPr>
          <w:rFonts w:ascii="仿宋" w:hAnsi="仿宋" w:eastAsia="仿宋" w:cs="仿宋"/>
          <w:color w:val="auto"/>
          <w:highlight w:val="none"/>
        </w:rPr>
      </w:pPr>
    </w:p>
    <w:p w14:paraId="47FDD3D3">
      <w:pPr>
        <w:pStyle w:val="60"/>
        <w:ind w:left="0" w:leftChars="0" w:firstLine="0" w:firstLineChars="0"/>
        <w:rPr>
          <w:rFonts w:ascii="仿宋" w:hAnsi="仿宋" w:eastAsia="仿宋" w:cs="仿宋"/>
          <w:color w:val="auto"/>
          <w:highlight w:val="none"/>
        </w:rPr>
      </w:pPr>
    </w:p>
    <w:p w14:paraId="6932E0FD">
      <w:pPr>
        <w:pStyle w:val="2"/>
        <w:rPr>
          <w:rFonts w:cs="仿宋"/>
          <w:color w:val="auto"/>
          <w:highlight w:val="none"/>
        </w:rPr>
      </w:pPr>
      <w:r>
        <w:rPr>
          <w:rFonts w:hint="eastAsia" w:cs="仿宋"/>
          <w:color w:val="auto"/>
          <w:highlight w:val="none"/>
        </w:rPr>
        <w:t>第三部分   交易需求</w:t>
      </w:r>
    </w:p>
    <w:p w14:paraId="238F222A">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属于实质性要求条款的，请用符号“▲”标明，否则属于非实质性要求。</w:t>
      </w:r>
    </w:p>
    <w:p w14:paraId="220030AE">
      <w:pPr>
        <w:snapToGrid w:val="0"/>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“★”系产品交易项目中单一产品或核心产品。</w:t>
      </w:r>
    </w:p>
    <w:p w14:paraId="6A18735D">
      <w:pPr>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一、交易一览表</w:t>
      </w:r>
    </w:p>
    <w:p w14:paraId="17B8BC94">
      <w:pPr>
        <w:spacing w:after="120"/>
        <w:ind w:firstLine="480" w:firstLineChars="200"/>
        <w:rPr>
          <w:rFonts w:ascii="仿宋" w:hAnsi="仿宋" w:eastAsia="仿宋" w:cs="仿宋"/>
          <w:color w:val="auto"/>
          <w:highlight w:val="none"/>
        </w:rPr>
      </w:pPr>
      <w:r>
        <w:rPr>
          <w:rFonts w:hint="eastAsia" w:ascii="仿宋" w:hAnsi="仿宋" w:eastAsia="仿宋" w:cs="仿宋"/>
          <w:color w:val="auto"/>
          <w:sz w:val="24"/>
          <w:highlight w:val="none"/>
        </w:rPr>
        <w:t>标项：1</w:t>
      </w:r>
    </w:p>
    <w:tbl>
      <w:tblPr>
        <w:tblStyle w:val="61"/>
        <w:tblW w:w="9554" w:type="dxa"/>
        <w:jc w:val="center"/>
        <w:tblLayout w:type="fixed"/>
        <w:tblCellMar>
          <w:top w:w="0" w:type="dxa"/>
          <w:left w:w="0" w:type="dxa"/>
          <w:bottom w:w="0" w:type="dxa"/>
          <w:right w:w="0" w:type="dxa"/>
        </w:tblCellMar>
      </w:tblPr>
      <w:tblGrid>
        <w:gridCol w:w="546"/>
        <w:gridCol w:w="4461"/>
        <w:gridCol w:w="1842"/>
        <w:gridCol w:w="1056"/>
        <w:gridCol w:w="888"/>
        <w:gridCol w:w="761"/>
      </w:tblGrid>
      <w:tr w14:paraId="240B8C04">
        <w:trPr>
          <w:cantSplit/>
          <w:trHeight w:val="643" w:hRule="atLeast"/>
          <w:jc w:val="center"/>
        </w:trPr>
        <w:tc>
          <w:tcPr>
            <w:tcW w:w="54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D75F23">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446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849E7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842"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BFEB6B">
            <w:pPr>
              <w:spacing w:line="440" w:lineRule="exact"/>
              <w:jc w:val="center"/>
              <w:rPr>
                <w:rFonts w:ascii="仿宋" w:hAnsi="仿宋" w:eastAsia="仿宋" w:cs="仿宋"/>
                <w:color w:val="auto"/>
                <w:sz w:val="24"/>
                <w:highlight w:val="none"/>
              </w:rPr>
            </w:pPr>
            <w:r>
              <w:rPr>
                <w:rFonts w:hint="eastAsia" w:ascii="仿宋" w:hAnsi="仿宋" w:eastAsia="仿宋" w:cs="仿宋"/>
                <w:bCs/>
                <w:color w:val="auto"/>
                <w:kern w:val="0"/>
                <w:sz w:val="24"/>
                <w:highlight w:val="none"/>
              </w:rPr>
              <w:t>具体规格要求</w:t>
            </w:r>
          </w:p>
        </w:tc>
        <w:tc>
          <w:tcPr>
            <w:tcW w:w="10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8F002F">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单位</w:t>
            </w:r>
          </w:p>
        </w:tc>
        <w:tc>
          <w:tcPr>
            <w:tcW w:w="88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BFC08A">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761" w:type="dxa"/>
            <w:tcBorders>
              <w:top w:val="single" w:color="auto" w:sz="4" w:space="0"/>
              <w:left w:val="nil"/>
              <w:bottom w:val="single" w:color="auto" w:sz="4" w:space="0"/>
              <w:right w:val="single" w:color="auto" w:sz="4" w:space="0"/>
            </w:tcBorders>
            <w:vAlign w:val="center"/>
          </w:tcPr>
          <w:p w14:paraId="6F858CB5">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475E5B89">
        <w:tblPrEx>
          <w:tblCellMar>
            <w:top w:w="0" w:type="dxa"/>
            <w:left w:w="0" w:type="dxa"/>
            <w:bottom w:w="0" w:type="dxa"/>
            <w:right w:w="0" w:type="dxa"/>
          </w:tblCellMar>
        </w:tblPrEx>
        <w:trPr>
          <w:cantSplit/>
          <w:trHeight w:val="719" w:hRule="atLeast"/>
          <w:jc w:val="center"/>
        </w:trPr>
        <w:tc>
          <w:tcPr>
            <w:tcW w:w="54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1A58E8">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446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09DFCE">
            <w:pPr>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none"/>
              </w:rPr>
              <w:t>萧彩街公共人行天桥项目施工监控及成桥荷载试验服务</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1</w:t>
            </w:r>
            <w:r>
              <w:rPr>
                <w:rFonts w:hint="eastAsia" w:ascii="仿宋" w:hAnsi="仿宋" w:eastAsia="仿宋" w:cs="仿宋"/>
                <w:color w:val="auto"/>
                <w:sz w:val="24"/>
                <w:highlight w:val="none"/>
                <w:u w:val="none"/>
                <w:lang w:eastAsia="zh-CN"/>
              </w:rPr>
              <w:t>）</w:t>
            </w:r>
          </w:p>
        </w:tc>
        <w:tc>
          <w:tcPr>
            <w:tcW w:w="1842"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BE8A93">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详见交易需求</w:t>
            </w:r>
          </w:p>
        </w:tc>
        <w:tc>
          <w:tcPr>
            <w:tcW w:w="10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7424AE">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项</w:t>
            </w:r>
          </w:p>
        </w:tc>
        <w:tc>
          <w:tcPr>
            <w:tcW w:w="88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51549F">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761" w:type="dxa"/>
            <w:tcBorders>
              <w:top w:val="single" w:color="auto" w:sz="4" w:space="0"/>
              <w:left w:val="nil"/>
              <w:bottom w:val="single" w:color="auto" w:sz="4" w:space="0"/>
              <w:right w:val="single" w:color="auto" w:sz="4" w:space="0"/>
            </w:tcBorders>
            <w:vAlign w:val="center"/>
          </w:tcPr>
          <w:p w14:paraId="292859DF">
            <w:pPr>
              <w:spacing w:line="440" w:lineRule="exact"/>
              <w:ind w:firstLine="480" w:firstLineChars="200"/>
              <w:rPr>
                <w:rFonts w:ascii="仿宋" w:hAnsi="仿宋" w:eastAsia="仿宋" w:cs="仿宋"/>
                <w:color w:val="auto"/>
                <w:sz w:val="24"/>
                <w:highlight w:val="none"/>
              </w:rPr>
            </w:pPr>
          </w:p>
        </w:tc>
      </w:tr>
    </w:tbl>
    <w:p w14:paraId="43F2E7F7">
      <w:pPr>
        <w:spacing w:line="360" w:lineRule="auto"/>
        <w:rPr>
          <w:rFonts w:ascii="仿宋" w:hAnsi="仿宋" w:eastAsia="仿宋" w:cs="仿宋"/>
          <w:b/>
          <w:color w:val="auto"/>
          <w:sz w:val="24"/>
          <w:highlight w:val="none"/>
        </w:rPr>
      </w:pPr>
    </w:p>
    <w:p w14:paraId="110FEED2">
      <w:pPr>
        <w:spacing w:line="360" w:lineRule="auto"/>
        <w:jc w:val="center"/>
        <w:rPr>
          <w:rFonts w:ascii="仿宋" w:hAnsi="仿宋" w:eastAsia="仿宋" w:cs="仿宋"/>
          <w:color w:val="auto"/>
          <w:highlight w:val="none"/>
        </w:rPr>
      </w:pPr>
      <w:r>
        <w:rPr>
          <w:rFonts w:hint="eastAsia" w:ascii="仿宋" w:hAnsi="仿宋" w:eastAsia="仿宋" w:cs="仿宋"/>
          <w:b/>
          <w:color w:val="auto"/>
          <w:sz w:val="28"/>
          <w:szCs w:val="28"/>
          <w:highlight w:val="none"/>
        </w:rPr>
        <w:t>二、交易需求</w:t>
      </w:r>
    </w:p>
    <w:p w14:paraId="604C85B0">
      <w:pPr>
        <w:spacing w:line="360" w:lineRule="auto"/>
        <w:ind w:firstLine="482" w:firstLineChars="200"/>
        <w:rPr>
          <w:rFonts w:ascii="仿宋" w:hAnsi="仿宋" w:eastAsia="仿宋" w:cs="仿宋"/>
          <w:color w:val="auto"/>
          <w:sz w:val="24"/>
          <w:highlight w:val="none"/>
        </w:rPr>
      </w:pPr>
      <w:bookmarkStart w:id="41" w:name="_二期网络工程项目改造需求"/>
      <w:bookmarkEnd w:id="41"/>
      <w:r>
        <w:rPr>
          <w:rFonts w:hint="eastAsia" w:ascii="仿宋" w:hAnsi="仿宋" w:eastAsia="仿宋" w:cs="仿宋"/>
          <w:b/>
          <w:color w:val="auto"/>
          <w:sz w:val="24"/>
          <w:highlight w:val="none"/>
        </w:rPr>
        <w:t>（一）、技术需求</w:t>
      </w:r>
    </w:p>
    <w:p w14:paraId="51490A18">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萧彩街公共人行天桥项目建设1座上跨萧彩隧道的人行天桥，上部采用(36.84+80.1+21.496)米连续钢桁架结构，桥墩采用柱式桥墩，桥宽 9.6-13.6 米，单跨最大</w:t>
      </w:r>
      <w:r>
        <w:rPr>
          <w:rFonts w:ascii="仿宋" w:hAnsi="仿宋" w:eastAsia="仿宋" w:cs="仿宋"/>
          <w:color w:val="auto"/>
          <w:sz w:val="24"/>
          <w:szCs w:val="24"/>
          <w:highlight w:val="none"/>
        </w:rPr>
        <w:t xml:space="preserve"> 80.1米</w:t>
      </w:r>
      <w:r>
        <w:rPr>
          <w:rFonts w:hint="eastAsia" w:ascii="仿宋" w:hAnsi="仿宋" w:eastAsia="仿宋" w:cs="仿宋"/>
          <w:color w:val="auto"/>
          <w:sz w:val="24"/>
          <w:szCs w:val="24"/>
          <w:highlight w:val="none"/>
        </w:rPr>
        <w:t xml:space="preserve"> 。建设地点：萧山区北干街道。</w:t>
      </w:r>
    </w:p>
    <w:p w14:paraId="6F345DAF">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主体结构采用</w:t>
      </w:r>
      <w:bookmarkStart w:id="42" w:name="OLE_LINK2"/>
      <w:r>
        <w:rPr>
          <w:rFonts w:hint="eastAsia" w:ascii="仿宋" w:hAnsi="仿宋" w:eastAsia="仿宋" w:cs="仿宋"/>
          <w:color w:val="auto"/>
          <w:sz w:val="24"/>
          <w:szCs w:val="24"/>
          <w:highlight w:val="none"/>
        </w:rPr>
        <w:t>两端悬挑变高连续桁架结构</w:t>
      </w:r>
      <w:bookmarkEnd w:id="42"/>
      <w:r>
        <w:rPr>
          <w:rFonts w:hint="eastAsia" w:ascii="仿宋" w:hAnsi="仿宋" w:eastAsia="仿宋" w:cs="仿宋"/>
          <w:color w:val="auto"/>
          <w:sz w:val="24"/>
          <w:szCs w:val="24"/>
          <w:highlight w:val="none"/>
        </w:rPr>
        <w:t>。为保证天桥造型，全桥采用东西两片桁架，两片桁架上弦杆线型不同。东侧桁架长度为 138.301m，高度 5.867~11.102m。西侧桁架长度为 138.451m，高度 6.106~11481m。东西两侧桁架中心线距离为7.5m。两侧随造型变宽变化，通过两侧圈梁与小横杆实现变宽变化。</w:t>
      </w:r>
    </w:p>
    <w:p w14:paraId="114D2B6D">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全桥分别采用上中下三处弦杆,弦杆尺寸为 800x500x22mm 方钢截面。其中下弦杆在 1#墩两侧加强，采用 800x500X40mm-2000X1000X40mm 变截面，上表面平齐。下弦杆在 2#墩两侧加强，采用 800X500x25mm-1500X1000x25mm 变截面,表面平齐。中弦杆在 1#墩两侧采用 800X500x22mm 方钢进行加强。斜腹杆采用 500x500x14mm 钢材。其中斜腹杆在1#墩两侧加强，采用800X500X22mm方钢，同时在1#墩两侧加强斜腹杆两侧采用500X500X22mm方钢进行斜腹杆加强。结构在1#墩和2#墩设置竖腹杆加强，1#竖腹杆采用1500X500X25mm方钢，2#竖腹杆采用矩形800X500X22mm方钢。</w:t>
      </w:r>
    </w:p>
    <w:p w14:paraId="32B9879D">
      <w:pPr>
        <w:pStyle w:val="32"/>
        <w:adjustRightInd/>
        <w:spacing w:line="360" w:lineRule="auto"/>
        <w:ind w:firstLine="480" w:firstLineChars="200"/>
        <w:rPr>
          <w:rFonts w:ascii="仿宋" w:hAnsi="仿宋" w:eastAsia="仿宋" w:cs="仿宋"/>
          <w:color w:val="auto"/>
          <w:sz w:val="24"/>
          <w:szCs w:val="24"/>
          <w:highlight w:val="none"/>
          <w:lang w:eastAsia="en-US"/>
        </w:rPr>
      </w:pPr>
      <w:r>
        <w:rPr>
          <w:rFonts w:hint="eastAsia" w:ascii="仿宋" w:hAnsi="仿宋" w:eastAsia="仿宋" w:cs="仿宋"/>
          <w:color w:val="auto"/>
          <w:sz w:val="24"/>
          <w:highlight w:val="none"/>
          <w:u w:val="none"/>
        </w:rPr>
        <w:t>萧彩街公共人行天桥项目施工监控及成桥荷载试验</w:t>
      </w:r>
      <w:r>
        <w:rPr>
          <w:rFonts w:hint="eastAsia" w:ascii="仿宋" w:hAnsi="仿宋" w:eastAsia="仿宋" w:cs="仿宋"/>
          <w:color w:val="auto"/>
          <w:sz w:val="24"/>
          <w:szCs w:val="24"/>
          <w:highlight w:val="none"/>
          <w:lang w:eastAsia="en-US"/>
        </w:rPr>
        <w:t>内容</w:t>
      </w:r>
      <w:r>
        <w:rPr>
          <w:rFonts w:hint="eastAsia" w:ascii="仿宋" w:hAnsi="仿宋" w:eastAsia="仿宋" w:cs="仿宋"/>
          <w:color w:val="auto"/>
          <w:sz w:val="24"/>
          <w:szCs w:val="24"/>
          <w:highlight w:val="none"/>
        </w:rPr>
        <w:t>包括但不限于</w:t>
      </w:r>
      <w:r>
        <w:rPr>
          <w:rFonts w:hint="eastAsia" w:ascii="仿宋" w:hAnsi="仿宋" w:eastAsia="仿宋" w:cs="仿宋"/>
          <w:color w:val="auto"/>
          <w:sz w:val="24"/>
          <w:szCs w:val="24"/>
          <w:highlight w:val="none"/>
          <w:lang w:eastAsia="en-US"/>
        </w:rPr>
        <w:t>：</w:t>
      </w:r>
    </w:p>
    <w:p w14:paraId="6CC52057">
      <w:pPr>
        <w:pStyle w:val="32"/>
        <w:adjustRightInd/>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en-US"/>
        </w:rPr>
        <w:t>1.</w:t>
      </w:r>
      <w:r>
        <w:rPr>
          <w:rFonts w:hint="eastAsia" w:ascii="仿宋" w:hAnsi="仿宋" w:eastAsia="仿宋" w:cs="仿宋"/>
          <w:color w:val="auto"/>
          <w:sz w:val="24"/>
          <w:highlight w:val="none"/>
          <w:u w:val="none"/>
        </w:rPr>
        <w:t>本项目人行桥主桥采用两端悬挑变高连续桁架结构，属受力行为复杂的特殊桥型。并考虑到该桥结构特殊性及监控技术要求</w:t>
      </w:r>
      <w:r>
        <w:rPr>
          <w:rFonts w:hint="eastAsia" w:ascii="仿宋" w:hAnsi="仿宋" w:eastAsia="仿宋" w:cs="仿宋"/>
          <w:color w:val="auto"/>
          <w:sz w:val="24"/>
          <w:highlight w:val="none"/>
          <w:u w:val="none"/>
          <w:lang w:val="en-US" w:eastAsia="zh-CN"/>
        </w:rPr>
        <w:t>进行施工监控</w:t>
      </w:r>
    </w:p>
    <w:p w14:paraId="2172A57D">
      <w:pPr>
        <w:pStyle w:val="32"/>
        <w:adjustRightInd/>
        <w:spacing w:line="360" w:lineRule="auto"/>
        <w:ind w:firstLine="480" w:firstLineChars="200"/>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2.</w:t>
      </w:r>
      <w:r>
        <w:rPr>
          <w:rFonts w:hint="eastAsia" w:ascii="仿宋" w:hAnsi="仿宋" w:eastAsia="仿宋" w:cs="仿宋"/>
          <w:color w:val="auto"/>
          <w:sz w:val="24"/>
          <w:highlight w:val="none"/>
          <w:u w:val="none"/>
          <w:lang w:val="en-US" w:eastAsia="zh-CN"/>
        </w:rPr>
        <w:t>施工</w:t>
      </w:r>
      <w:r>
        <w:rPr>
          <w:rFonts w:hint="eastAsia" w:ascii="仿宋" w:hAnsi="仿宋" w:eastAsia="仿宋" w:cs="仿宋"/>
          <w:color w:val="auto"/>
          <w:sz w:val="24"/>
          <w:highlight w:val="none"/>
          <w:u w:val="none"/>
        </w:rPr>
        <w:t>监控配合</w:t>
      </w:r>
      <w:r>
        <w:rPr>
          <w:rFonts w:hint="eastAsia" w:ascii="仿宋" w:hAnsi="仿宋" w:eastAsia="仿宋" w:cs="仿宋"/>
          <w:color w:val="auto"/>
          <w:sz w:val="24"/>
          <w:highlight w:val="none"/>
          <w:u w:val="none"/>
          <w:lang w:val="en-US" w:eastAsia="zh-CN"/>
        </w:rPr>
        <w:t>服务</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所涉及的所有费用包干，</w:t>
      </w:r>
      <w:r>
        <w:rPr>
          <w:rFonts w:hint="eastAsia" w:ascii="仿宋" w:hAnsi="仿宋" w:eastAsia="仿宋" w:cs="仿宋"/>
          <w:color w:val="auto"/>
          <w:sz w:val="24"/>
          <w:highlight w:val="none"/>
          <w:u w:val="none"/>
        </w:rPr>
        <w:t>含传感器及安装、埋设及后期维护费用</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lang w:eastAsia="en-US"/>
        </w:rPr>
        <w:t>）。</w:t>
      </w:r>
    </w:p>
    <w:p w14:paraId="780FFD28">
      <w:pPr>
        <w:pStyle w:val="32"/>
        <w:adjustRightInd/>
        <w:spacing w:line="360" w:lineRule="auto"/>
        <w:ind w:firstLine="480" w:firstLineChars="200"/>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3.进行成桥荷载试验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en-US"/>
        </w:rPr>
        <w:t>静载试验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en-US"/>
        </w:rPr>
        <w:t>动载试验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en-US"/>
        </w:rPr>
        <w:t>试验配合</w:t>
      </w:r>
      <w:r>
        <w:rPr>
          <w:rFonts w:hint="eastAsia" w:ascii="仿宋" w:hAnsi="仿宋" w:eastAsia="仿宋" w:cs="仿宋"/>
          <w:color w:val="auto"/>
          <w:sz w:val="24"/>
          <w:szCs w:val="24"/>
          <w:highlight w:val="none"/>
          <w:lang w:val="en-US" w:eastAsia="zh-CN"/>
        </w:rPr>
        <w:t>等所涉及的所有费用包干</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en-US"/>
        </w:rPr>
        <w:t>。</w:t>
      </w:r>
    </w:p>
    <w:p w14:paraId="78A8A144">
      <w:pPr>
        <w:pStyle w:val="32"/>
        <w:adjustRightInd/>
        <w:spacing w:line="360" w:lineRule="auto"/>
        <w:ind w:firstLine="480" w:firstLineChars="200"/>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en-US"/>
        </w:rPr>
        <w:t>.协助甲方完成相关行政审批的流程。</w:t>
      </w:r>
    </w:p>
    <w:p w14:paraId="32840E9F">
      <w:pPr>
        <w:pStyle w:val="32"/>
        <w:adjustRightInd/>
        <w:spacing w:line="360" w:lineRule="auto"/>
        <w:ind w:firstLine="480" w:firstLineChars="200"/>
        <w:rPr>
          <w:rFonts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en-US"/>
        </w:rPr>
        <w:t>.期间产生的所有费用均由</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eastAsia="en-US"/>
        </w:rPr>
        <w:t>人承担（包括但不限于专家费、会务费及场地租赁费等）。</w:t>
      </w:r>
    </w:p>
    <w:p w14:paraId="6AB67B4B">
      <w:pPr>
        <w:pStyle w:val="32"/>
        <w:adjustRightInd/>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en-US"/>
        </w:rPr>
        <w:t>由成交人自行处理与施工单位的关系，所需费用由成交人承担，</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lang w:eastAsia="en-US"/>
        </w:rPr>
        <w:t>期间水电费由成交人自行承担。如需</w:t>
      </w:r>
      <w:r>
        <w:rPr>
          <w:rFonts w:hint="eastAsia" w:ascii="仿宋" w:hAnsi="仿宋" w:eastAsia="仿宋" w:cs="仿宋"/>
          <w:color w:val="auto"/>
          <w:sz w:val="24"/>
          <w:szCs w:val="24"/>
          <w:highlight w:val="none"/>
        </w:rPr>
        <w:t>施工</w:t>
      </w:r>
      <w:r>
        <w:rPr>
          <w:rFonts w:hint="eastAsia" w:ascii="仿宋" w:hAnsi="仿宋" w:eastAsia="仿宋" w:cs="仿宋"/>
          <w:color w:val="auto"/>
          <w:sz w:val="24"/>
          <w:szCs w:val="24"/>
          <w:highlight w:val="none"/>
          <w:lang w:eastAsia="en-US"/>
        </w:rPr>
        <w:t>单位配合的</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en-US"/>
        </w:rPr>
        <w:t>相应配合费已综合考虑包含在响应报价中各响应人在报价时应充分考虑；成交人自行协调与上级建设行政部门的关系，费用由成交人承担。成交人在施工中出现一切安全事故，均自行承担 (包括经济</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en-US"/>
        </w:rPr>
        <w:t>民事、法律责任 ) 。成交人在服务期间发生的一切费用自理</w:t>
      </w:r>
      <w:r>
        <w:rPr>
          <w:rFonts w:hint="eastAsia" w:ascii="仿宋" w:hAnsi="仿宋" w:eastAsia="仿宋" w:cs="仿宋"/>
          <w:color w:val="auto"/>
          <w:sz w:val="24"/>
          <w:szCs w:val="24"/>
          <w:highlight w:val="none"/>
        </w:rPr>
        <w:t>。</w:t>
      </w:r>
    </w:p>
    <w:p w14:paraId="6BCD8F0A">
      <w:pPr>
        <w:pStyle w:val="32"/>
        <w:adjustRightInd/>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en-US"/>
        </w:rPr>
        <w:t>按照国家、省、市</w:t>
      </w:r>
      <w:r>
        <w:rPr>
          <w:rFonts w:hint="eastAsia" w:ascii="仿宋" w:hAnsi="仿宋" w:eastAsia="仿宋" w:cs="仿宋"/>
          <w:color w:val="auto"/>
          <w:sz w:val="24"/>
          <w:szCs w:val="24"/>
          <w:highlight w:val="none"/>
        </w:rPr>
        <w:t>、区</w:t>
      </w:r>
      <w:r>
        <w:rPr>
          <w:rFonts w:hint="eastAsia" w:ascii="仿宋" w:hAnsi="仿宋" w:eastAsia="仿宋" w:cs="仿宋"/>
          <w:color w:val="auto"/>
          <w:sz w:val="24"/>
          <w:szCs w:val="24"/>
          <w:highlight w:val="none"/>
          <w:lang w:eastAsia="en-US"/>
        </w:rPr>
        <w:t>现行的规定，符合技术规范要求，根据工程进展，及时按相关要求进行详细监测并形成书面成果文件按规定时限提交建设单位。本项目按设计图纸、现场 情况及相关规范文件等要求，并对发包人提供的资料保密。</w:t>
      </w:r>
    </w:p>
    <w:p w14:paraId="15AA3C59">
      <w:pPr>
        <w:pStyle w:val="32"/>
        <w:adjustRightInd/>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（二）商务需求</w:t>
      </w:r>
    </w:p>
    <w:p w14:paraId="31A8B68F">
      <w:pPr>
        <w:pStyle w:val="32"/>
        <w:adjustRightInd/>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1、交货（服务）时间及地点</w:t>
      </w:r>
    </w:p>
    <w:p w14:paraId="7E4E8CE9">
      <w:pPr>
        <w:pStyle w:val="32"/>
        <w:adjustRightInd/>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(1) 合同服务期限：</w:t>
      </w:r>
      <w:r>
        <w:rPr>
          <w:rFonts w:hint="eastAsia" w:ascii="仿宋" w:hAnsi="仿宋" w:eastAsia="仿宋" w:cs="仿宋"/>
          <w:color w:val="auto"/>
          <w:sz w:val="24"/>
          <w:szCs w:val="24"/>
          <w:highlight w:val="none"/>
          <w:lang w:eastAsia="en-US"/>
        </w:rPr>
        <w:t>按</w:t>
      </w:r>
      <w:r>
        <w:rPr>
          <w:rFonts w:hint="eastAsia" w:ascii="仿宋" w:hAnsi="仿宋" w:eastAsia="仿宋" w:cs="仿宋"/>
          <w:color w:val="auto"/>
          <w:sz w:val="24"/>
          <w:szCs w:val="24"/>
          <w:highlight w:val="none"/>
        </w:rPr>
        <w:t>交易发起</w:t>
      </w:r>
      <w:r>
        <w:rPr>
          <w:rFonts w:hint="eastAsia" w:ascii="仿宋" w:hAnsi="仿宋" w:eastAsia="仿宋" w:cs="仿宋"/>
          <w:color w:val="auto"/>
          <w:sz w:val="24"/>
          <w:szCs w:val="24"/>
          <w:highlight w:val="none"/>
          <w:lang w:eastAsia="en-US"/>
        </w:rPr>
        <w:t>人要求</w:t>
      </w:r>
      <w:r>
        <w:rPr>
          <w:rFonts w:hint="eastAsia" w:ascii="仿宋" w:hAnsi="仿宋" w:eastAsia="仿宋" w:cs="仿宋"/>
          <w:color w:val="auto"/>
          <w:sz w:val="24"/>
          <w:szCs w:val="24"/>
          <w:highlight w:val="none"/>
        </w:rPr>
        <w:t>。</w:t>
      </w:r>
    </w:p>
    <w:p w14:paraId="5DFFFCFC">
      <w:pPr>
        <w:pStyle w:val="32"/>
        <w:adjustRightInd/>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(2)交货（服务）地点：交易发起人指定地点。                                 </w:t>
      </w:r>
    </w:p>
    <w:p w14:paraId="3DA133B8">
      <w:pPr>
        <w:pStyle w:val="32"/>
        <w:adjustRightInd/>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2.项目实施计划</w:t>
      </w:r>
    </w:p>
    <w:p w14:paraId="4078CF21">
      <w:pPr>
        <w:pStyle w:val="32"/>
        <w:adjustRightInd/>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项目实施的组织工作方案：工作时间进度表、工作程序或步骤、管理和协调方法、送货方案等。</w:t>
      </w:r>
    </w:p>
    <w:p w14:paraId="2276ED36">
      <w:pPr>
        <w:pStyle w:val="32"/>
        <w:adjustRightInd/>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3.付款方式</w:t>
      </w:r>
    </w:p>
    <w:p w14:paraId="6795BF2D">
      <w:pPr>
        <w:spacing w:line="360" w:lineRule="auto"/>
        <w:ind w:firstLine="480" w:firstLineChars="200"/>
        <w:rPr>
          <w:rFonts w:ascii="仿宋" w:hAnsi="仿宋" w:eastAsia="仿宋" w:cs="仿宋"/>
          <w:color w:val="auto"/>
          <w:sz w:val="30"/>
          <w:szCs w:val="30"/>
          <w:highlight w:val="none"/>
          <w:lang w:eastAsia="en-US"/>
        </w:rPr>
      </w:pPr>
      <w:r>
        <w:rPr>
          <w:rFonts w:hint="eastAsia" w:ascii="仿宋" w:hAnsi="仿宋" w:eastAsia="仿宋" w:cs="仿宋"/>
          <w:color w:val="auto"/>
          <w:sz w:val="24"/>
          <w:highlight w:val="none"/>
          <w:lang w:eastAsia="en-US"/>
        </w:rPr>
        <w:t>全部</w:t>
      </w:r>
      <w:r>
        <w:rPr>
          <w:rFonts w:hint="eastAsia" w:ascii="仿宋" w:hAnsi="仿宋" w:eastAsia="仿宋" w:cs="仿宋"/>
          <w:color w:val="auto"/>
          <w:sz w:val="24"/>
          <w:highlight w:val="none"/>
          <w:lang w:val="en-US" w:eastAsia="zh-CN"/>
        </w:rPr>
        <w:t>施工监控</w:t>
      </w:r>
      <w:r>
        <w:rPr>
          <w:rFonts w:hint="eastAsia" w:ascii="仿宋" w:hAnsi="仿宋" w:eastAsia="仿宋" w:cs="仿宋"/>
          <w:color w:val="auto"/>
          <w:sz w:val="24"/>
          <w:highlight w:val="none"/>
          <w:lang w:eastAsia="en-US"/>
        </w:rPr>
        <w:t>工作完成，并提供完整的符合要求的报告后，支付</w:t>
      </w:r>
      <w:r>
        <w:rPr>
          <w:rFonts w:hint="eastAsia" w:ascii="仿宋" w:hAnsi="仿宋" w:eastAsia="仿宋" w:cs="仿宋"/>
          <w:color w:val="auto"/>
          <w:sz w:val="24"/>
          <w:highlight w:val="none"/>
          <w:lang w:val="en-US" w:eastAsia="zh-CN"/>
        </w:rPr>
        <w:t>合同价的40%，全部荷载试验完成，</w:t>
      </w:r>
      <w:r>
        <w:rPr>
          <w:rFonts w:hint="eastAsia" w:ascii="仿宋" w:hAnsi="仿宋" w:eastAsia="仿宋" w:cs="仿宋"/>
          <w:color w:val="auto"/>
          <w:sz w:val="24"/>
          <w:highlight w:val="none"/>
          <w:lang w:eastAsia="en-US"/>
        </w:rPr>
        <w:t>并提供完整的符合要求的报告后，支付</w:t>
      </w:r>
      <w:r>
        <w:rPr>
          <w:rFonts w:hint="eastAsia" w:ascii="仿宋" w:hAnsi="仿宋" w:eastAsia="仿宋" w:cs="仿宋"/>
          <w:color w:val="auto"/>
          <w:sz w:val="24"/>
          <w:highlight w:val="none"/>
          <w:lang w:val="en-US" w:eastAsia="zh-CN"/>
        </w:rPr>
        <w:t>合同价的40%</w:t>
      </w:r>
      <w:r>
        <w:rPr>
          <w:rFonts w:hint="eastAsia" w:ascii="仿宋" w:hAnsi="仿宋" w:eastAsia="仿宋" w:cs="仿宋"/>
          <w:color w:val="auto"/>
          <w:sz w:val="24"/>
          <w:highlight w:val="none"/>
          <w:lang w:eastAsia="en-US"/>
        </w:rPr>
        <w:t>；剩余20% 待项目竣工验收合格后一个月内支付</w:t>
      </w:r>
      <w:r>
        <w:rPr>
          <w:rFonts w:hint="eastAsia" w:ascii="仿宋" w:hAnsi="仿宋" w:eastAsia="仿宋" w:cs="宋体"/>
          <w:color w:val="auto"/>
          <w:sz w:val="24"/>
          <w:szCs w:val="24"/>
          <w:highlight w:val="none"/>
        </w:rPr>
        <w:t>。施工监控过程、荷载试验过程、报告等不符合主管部门等相关单位要求的，或结果不客观、不真实的，建设单位有权扣除相应服务费用，并视情况处以1000-20000元/次的罚款。</w:t>
      </w:r>
    </w:p>
    <w:p w14:paraId="0940B7FD">
      <w:pPr>
        <w:spacing w:line="360" w:lineRule="auto"/>
        <w:ind w:firstLine="480" w:firstLineChars="200"/>
        <w:rPr>
          <w:rFonts w:ascii="仿宋" w:hAnsi="仿宋" w:eastAsia="仿宋" w:cs="仿宋"/>
          <w:color w:val="auto"/>
          <w:sz w:val="24"/>
          <w:highlight w:val="none"/>
          <w:lang w:eastAsia="en-US"/>
        </w:rPr>
      </w:pPr>
      <w:r>
        <w:rPr>
          <w:rFonts w:hint="eastAsia" w:ascii="仿宋" w:hAnsi="仿宋" w:eastAsia="仿宋" w:cs="仿宋"/>
          <w:color w:val="auto"/>
          <w:sz w:val="24"/>
          <w:highlight w:val="none"/>
          <w:lang w:eastAsia="en-US"/>
        </w:rPr>
        <w:t>合同形式：</w:t>
      </w:r>
      <w:r>
        <w:rPr>
          <w:rFonts w:hint="eastAsia" w:ascii="仿宋" w:hAnsi="仿宋" w:eastAsia="仿宋" w:cs="仿宋"/>
          <w:color w:val="auto"/>
          <w:sz w:val="24"/>
          <w:highlight w:val="none"/>
        </w:rPr>
        <w:t>总价包干</w:t>
      </w:r>
      <w:r>
        <w:rPr>
          <w:rFonts w:hint="eastAsia" w:ascii="仿宋" w:hAnsi="仿宋" w:eastAsia="仿宋" w:cs="仿宋"/>
          <w:color w:val="auto"/>
          <w:sz w:val="24"/>
          <w:highlight w:val="none"/>
          <w:lang w:eastAsia="en-US"/>
        </w:rPr>
        <w:t>。</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eastAsia="en-US"/>
        </w:rPr>
        <w:t>包括不限于响应人应充分考虑服务期间各类价格的风险、物价上涨因素、国家政策性调整风险和自然条件</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en-US"/>
        </w:rPr>
        <w:t>不做调整。</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eastAsia="en-US"/>
        </w:rPr>
        <w:t>已包含完成本项目监测工作并形成书面成果报告所可能发生的所有费用，包括但不限于 ：设备的租赁 (或购置) 费、设备的多次进退场费及使 用费、材料费、人工费、机械费、检测费、交通费、利 润、管理费、税金、检测所需的措施费、检测服务所需制作安装费、现场水电费、保险费、社保税金、风险费 、成果资料费、专家论证费、场地恢复费及与各单位协 调产生的费用等。如建安工程工期延长导致监测周期延长</w:t>
      </w:r>
      <w:r>
        <w:rPr>
          <w:rFonts w:hint="eastAsia" w:ascii="仿宋" w:hAnsi="仿宋" w:eastAsia="仿宋" w:cs="仿宋"/>
          <w:color w:val="auto"/>
          <w:sz w:val="24"/>
          <w:highlight w:val="none"/>
          <w:lang w:val="en-US" w:eastAsia="zh-CN"/>
        </w:rPr>
        <w:t>及施工方案调整导致工程量增加</w:t>
      </w:r>
      <w:r>
        <w:rPr>
          <w:rFonts w:hint="eastAsia" w:ascii="仿宋" w:hAnsi="仿宋" w:eastAsia="仿宋" w:cs="仿宋"/>
          <w:color w:val="auto"/>
          <w:sz w:val="24"/>
          <w:highlight w:val="none"/>
          <w:lang w:eastAsia="en-US"/>
        </w:rPr>
        <w:t>等，费用已包含在响应</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eastAsia="en-US"/>
        </w:rPr>
        <w:t>内。</w:t>
      </w:r>
    </w:p>
    <w:p w14:paraId="46D8EC0E">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注：</w:t>
      </w:r>
    </w:p>
    <w:p w14:paraId="000A896B">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1.公开竞争文件中打</w:t>
      </w:r>
      <w:r>
        <w:rPr>
          <w:rFonts w:hint="eastAsia" w:ascii="仿宋" w:hAnsi="仿宋" w:eastAsia="仿宋"/>
          <w:color w:val="auto"/>
          <w:sz w:val="24"/>
          <w:highlight w:val="none"/>
        </w:rPr>
        <w:t>▲</w:t>
      </w:r>
      <w:r>
        <w:rPr>
          <w:rFonts w:hint="eastAsia" w:ascii="仿宋" w:hAnsi="仿宋" w:eastAsia="仿宋" w:cs="仿宋"/>
          <w:color w:val="auto"/>
          <w:sz w:val="24"/>
          <w:highlight w:val="none"/>
        </w:rPr>
        <w:t>内容为实质性要求，不允许有负偏离，否则将以涉及无效响应条款作无效响应。</w:t>
      </w:r>
    </w:p>
    <w:p w14:paraId="14CC38B7">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2、成交供应商所提供的货物、服务须与交易承诺一致，不得以次充好、偷工减料，若在项目验收中发现有上述情况，将向有关部门举报，根据相关规定进行处理。</w:t>
      </w:r>
    </w:p>
    <w:p w14:paraId="1D18EA2D">
      <w:pPr>
        <w:pStyle w:val="32"/>
        <w:adjustRightInd/>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3、质疑受理电话：0571-82858325。</w:t>
      </w:r>
    </w:p>
    <w:p w14:paraId="40D41E4B">
      <w:pPr>
        <w:spacing w:line="360" w:lineRule="auto"/>
        <w:ind w:firstLine="482" w:firstLineChars="200"/>
        <w:rPr>
          <w:rFonts w:ascii="仿宋" w:hAnsi="仿宋" w:eastAsia="仿宋" w:cs="仿宋"/>
          <w:b/>
          <w:color w:val="auto"/>
          <w:kern w:val="0"/>
          <w:sz w:val="24"/>
          <w:highlight w:val="none"/>
        </w:rPr>
      </w:pPr>
      <w:r>
        <w:rPr>
          <w:rFonts w:hint="eastAsia" w:ascii="仿宋" w:hAnsi="仿宋" w:eastAsia="仿宋" w:cs="仿宋"/>
          <w:b/>
          <w:color w:val="auto"/>
          <w:sz w:val="24"/>
          <w:highlight w:val="none"/>
        </w:rPr>
        <w:t>注：</w:t>
      </w:r>
      <w:r>
        <w:rPr>
          <w:rFonts w:hint="eastAsia" w:ascii="仿宋" w:hAnsi="仿宋" w:eastAsia="仿宋" w:cs="仿宋"/>
          <w:b/>
          <w:color w:val="auto"/>
          <w:kern w:val="0"/>
          <w:sz w:val="24"/>
          <w:highlight w:val="none"/>
        </w:rPr>
        <w:t>1.交易文件中打</w:t>
      </w:r>
      <w:r>
        <w:rPr>
          <w:rFonts w:hint="eastAsia" w:ascii="仿宋" w:hAnsi="仿宋" w:eastAsia="仿宋" w:cs="仿宋"/>
          <w:color w:val="auto"/>
          <w:sz w:val="24"/>
          <w:highlight w:val="none"/>
        </w:rPr>
        <w:t>▲</w:t>
      </w:r>
      <w:r>
        <w:rPr>
          <w:rFonts w:hint="eastAsia" w:ascii="仿宋" w:hAnsi="仿宋" w:eastAsia="仿宋" w:cs="仿宋"/>
          <w:b/>
          <w:color w:val="auto"/>
          <w:kern w:val="0"/>
          <w:sz w:val="24"/>
          <w:highlight w:val="none"/>
        </w:rPr>
        <w:t>内容为实质性要求，不允许有负偏离，否则将以涉及无效响应条款作无效响应。</w:t>
      </w:r>
    </w:p>
    <w:p w14:paraId="4E4B64C4">
      <w:pPr>
        <w:snapToGrid w:val="0"/>
        <w:spacing w:line="360" w:lineRule="auto"/>
        <w:rPr>
          <w:rFonts w:ascii="仿宋" w:hAnsi="仿宋" w:eastAsia="仿宋" w:cs="仿宋"/>
          <w:b/>
          <w:color w:val="auto"/>
          <w:sz w:val="32"/>
          <w:highlight w:val="none"/>
        </w:rPr>
      </w:pPr>
      <w:r>
        <w:rPr>
          <w:rFonts w:hint="eastAsia" w:ascii="仿宋" w:hAnsi="仿宋" w:eastAsia="仿宋" w:cs="仿宋"/>
          <w:color w:val="auto"/>
          <w:highlight w:val="none"/>
        </w:rPr>
        <w:br w:type="page"/>
      </w:r>
    </w:p>
    <w:p w14:paraId="413D6B93">
      <w:pPr>
        <w:snapToGrid w:val="0"/>
        <w:spacing w:line="360" w:lineRule="auto"/>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第四部分   </w:t>
      </w:r>
      <w:bookmarkStart w:id="43" w:name="_Toc184314415"/>
      <w:bookmarkEnd w:id="43"/>
      <w:bookmarkStart w:id="44" w:name="_Toc184308046"/>
      <w:bookmarkEnd w:id="44"/>
      <w:bookmarkStart w:id="45" w:name="_Toc184313252"/>
      <w:bookmarkEnd w:id="45"/>
      <w:bookmarkStart w:id="46" w:name="_Toc184312103"/>
      <w:bookmarkEnd w:id="46"/>
      <w:bookmarkStart w:id="47" w:name="_Toc184308059"/>
      <w:bookmarkEnd w:id="47"/>
      <w:bookmarkStart w:id="48" w:name="_Toc184308047"/>
      <w:bookmarkEnd w:id="48"/>
      <w:bookmarkStart w:id="49" w:name="_Toc184314427"/>
      <w:bookmarkEnd w:id="49"/>
      <w:bookmarkStart w:id="50" w:name="_Toc184314448"/>
      <w:bookmarkEnd w:id="50"/>
      <w:bookmarkStart w:id="51" w:name="_Toc184310315"/>
      <w:bookmarkEnd w:id="51"/>
      <w:bookmarkStart w:id="52" w:name="_Toc184310309"/>
      <w:bookmarkEnd w:id="52"/>
      <w:bookmarkStart w:id="53" w:name="_Toc184314452"/>
      <w:bookmarkEnd w:id="53"/>
      <w:bookmarkStart w:id="54" w:name="_Toc184312106"/>
      <w:bookmarkEnd w:id="54"/>
      <w:bookmarkStart w:id="55" w:name="_Toc184314414"/>
      <w:bookmarkEnd w:id="55"/>
      <w:bookmarkStart w:id="56" w:name="_Toc184314464"/>
      <w:bookmarkEnd w:id="56"/>
      <w:bookmarkStart w:id="57" w:name="_Toc184308102"/>
      <w:bookmarkEnd w:id="57"/>
      <w:bookmarkStart w:id="58" w:name="_Toc184308104"/>
      <w:bookmarkEnd w:id="58"/>
      <w:bookmarkStart w:id="59" w:name="_Toc184312095"/>
      <w:bookmarkEnd w:id="59"/>
      <w:bookmarkStart w:id="60" w:name="_Toc184313238"/>
      <w:bookmarkEnd w:id="60"/>
      <w:bookmarkStart w:id="61" w:name="_Toc184312093"/>
      <w:bookmarkEnd w:id="61"/>
      <w:bookmarkStart w:id="62" w:name="_Toc184308068"/>
      <w:bookmarkEnd w:id="62"/>
      <w:bookmarkStart w:id="63" w:name="_Toc184310324"/>
      <w:bookmarkEnd w:id="63"/>
      <w:bookmarkStart w:id="64" w:name="_Toc184313278"/>
      <w:bookmarkEnd w:id="64"/>
      <w:bookmarkStart w:id="65" w:name="_Toc184310280"/>
      <w:bookmarkEnd w:id="65"/>
      <w:bookmarkStart w:id="66" w:name="_Toc184310338"/>
      <w:bookmarkEnd w:id="66"/>
      <w:bookmarkStart w:id="67" w:name="_Toc184312078"/>
      <w:bookmarkEnd w:id="67"/>
      <w:bookmarkStart w:id="68" w:name="_Toc184313288"/>
      <w:bookmarkEnd w:id="68"/>
      <w:bookmarkStart w:id="69" w:name="_Toc184314471"/>
      <w:bookmarkEnd w:id="69"/>
      <w:bookmarkStart w:id="70" w:name="_Toc184314460"/>
      <w:bookmarkEnd w:id="70"/>
      <w:bookmarkStart w:id="71" w:name="_Toc184308108"/>
      <w:bookmarkEnd w:id="71"/>
      <w:bookmarkStart w:id="72" w:name="_Toc184310273"/>
      <w:bookmarkEnd w:id="72"/>
      <w:bookmarkStart w:id="73" w:name="_Toc184314432"/>
      <w:bookmarkEnd w:id="73"/>
      <w:bookmarkStart w:id="74" w:name="_Toc184313284"/>
      <w:bookmarkEnd w:id="74"/>
      <w:bookmarkStart w:id="75" w:name="_Toc184310289"/>
      <w:bookmarkEnd w:id="75"/>
      <w:bookmarkStart w:id="76" w:name="_Toc184313265"/>
      <w:bookmarkEnd w:id="76"/>
      <w:bookmarkStart w:id="77" w:name="_Toc184314472"/>
      <w:bookmarkEnd w:id="77"/>
      <w:bookmarkStart w:id="78" w:name="_Toc184308050"/>
      <w:bookmarkEnd w:id="78"/>
      <w:bookmarkStart w:id="79" w:name="_Toc184312111"/>
      <w:bookmarkEnd w:id="79"/>
      <w:bookmarkStart w:id="80" w:name="_Toc184310277"/>
      <w:bookmarkEnd w:id="80"/>
      <w:bookmarkStart w:id="81" w:name="_Toc184310294"/>
      <w:bookmarkEnd w:id="81"/>
      <w:bookmarkStart w:id="82" w:name="_Toc184312076"/>
      <w:bookmarkEnd w:id="82"/>
      <w:bookmarkStart w:id="83" w:name="_Toc184308105"/>
      <w:bookmarkEnd w:id="83"/>
      <w:bookmarkStart w:id="84" w:name="_Toc184314465"/>
      <w:bookmarkEnd w:id="84"/>
      <w:bookmarkStart w:id="85" w:name="_Toc184313308"/>
      <w:bookmarkEnd w:id="85"/>
      <w:bookmarkStart w:id="86" w:name="_Toc184308052"/>
      <w:bookmarkEnd w:id="86"/>
      <w:bookmarkStart w:id="87" w:name="_Toc184310325"/>
      <w:bookmarkEnd w:id="87"/>
      <w:bookmarkStart w:id="88" w:name="_Toc184312117"/>
      <w:bookmarkEnd w:id="88"/>
      <w:bookmarkStart w:id="89" w:name="_Toc184310302"/>
      <w:bookmarkEnd w:id="89"/>
      <w:bookmarkStart w:id="90" w:name="_Toc184314474"/>
      <w:bookmarkEnd w:id="90"/>
      <w:bookmarkStart w:id="91" w:name="_Toc184314480"/>
      <w:bookmarkEnd w:id="91"/>
      <w:bookmarkStart w:id="92" w:name="_Toc184310314"/>
      <w:bookmarkEnd w:id="92"/>
      <w:bookmarkStart w:id="93" w:name="_Toc184313310"/>
      <w:bookmarkEnd w:id="93"/>
      <w:bookmarkStart w:id="94" w:name="_Toc184310295"/>
      <w:bookmarkEnd w:id="94"/>
      <w:bookmarkStart w:id="95" w:name="_Toc184313296"/>
      <w:bookmarkEnd w:id="95"/>
      <w:bookmarkStart w:id="96" w:name="_Toc184312099"/>
      <w:bookmarkEnd w:id="96"/>
      <w:bookmarkStart w:id="97" w:name="_Toc184314416"/>
      <w:bookmarkEnd w:id="97"/>
      <w:bookmarkStart w:id="98" w:name="_Toc184313243"/>
      <w:bookmarkEnd w:id="98"/>
      <w:bookmarkStart w:id="99" w:name="_Toc184313302"/>
      <w:bookmarkEnd w:id="99"/>
      <w:bookmarkStart w:id="100" w:name="_Toc184310293"/>
      <w:bookmarkEnd w:id="100"/>
      <w:bookmarkStart w:id="101" w:name="_Toc184312110"/>
      <w:bookmarkEnd w:id="101"/>
      <w:bookmarkStart w:id="102" w:name="_Toc184312136"/>
      <w:bookmarkEnd w:id="102"/>
      <w:bookmarkStart w:id="103" w:name="_Toc184308039"/>
      <w:bookmarkEnd w:id="103"/>
      <w:bookmarkStart w:id="104" w:name="_Toc184313283"/>
      <w:bookmarkEnd w:id="104"/>
      <w:bookmarkStart w:id="105" w:name="_Toc184310281"/>
      <w:bookmarkEnd w:id="105"/>
      <w:bookmarkStart w:id="106" w:name="_Toc184314450"/>
      <w:bookmarkEnd w:id="106"/>
      <w:bookmarkStart w:id="107" w:name="_Toc184313257"/>
      <w:bookmarkEnd w:id="107"/>
      <w:bookmarkStart w:id="108" w:name="_Toc184313285"/>
      <w:bookmarkEnd w:id="108"/>
      <w:bookmarkStart w:id="109" w:name="_Toc184312124"/>
      <w:bookmarkEnd w:id="109"/>
      <w:bookmarkStart w:id="110" w:name="_Toc184313281"/>
      <w:bookmarkEnd w:id="110"/>
      <w:bookmarkStart w:id="111" w:name="_Toc184313290"/>
      <w:bookmarkEnd w:id="111"/>
      <w:bookmarkStart w:id="112" w:name="_Toc184310313"/>
      <w:bookmarkEnd w:id="112"/>
      <w:bookmarkStart w:id="113" w:name="_Toc184314458"/>
      <w:bookmarkEnd w:id="113"/>
      <w:bookmarkStart w:id="114" w:name="_Toc184312139"/>
      <w:bookmarkEnd w:id="114"/>
      <w:bookmarkStart w:id="115" w:name="_Toc184308084"/>
      <w:bookmarkEnd w:id="115"/>
      <w:bookmarkStart w:id="116" w:name="_Toc184308090"/>
      <w:bookmarkEnd w:id="116"/>
      <w:bookmarkStart w:id="117" w:name="_Toc184310341"/>
      <w:bookmarkEnd w:id="117"/>
      <w:bookmarkStart w:id="118" w:name="_Toc184310303"/>
      <w:bookmarkEnd w:id="118"/>
      <w:bookmarkStart w:id="119" w:name="_Toc184308095"/>
      <w:bookmarkEnd w:id="119"/>
      <w:bookmarkStart w:id="120" w:name="_Toc184313282"/>
      <w:bookmarkEnd w:id="120"/>
      <w:bookmarkStart w:id="121" w:name="_Toc184314421"/>
      <w:bookmarkEnd w:id="121"/>
      <w:bookmarkStart w:id="122" w:name="_Toc184313253"/>
      <w:bookmarkEnd w:id="122"/>
      <w:bookmarkStart w:id="123" w:name="_Toc184314429"/>
      <w:bookmarkEnd w:id="123"/>
      <w:bookmarkStart w:id="124" w:name="_Toc184308107"/>
      <w:bookmarkEnd w:id="124"/>
      <w:bookmarkStart w:id="125" w:name="_Toc184310288"/>
      <w:bookmarkEnd w:id="125"/>
      <w:bookmarkStart w:id="126" w:name="_Toc184314440"/>
      <w:bookmarkEnd w:id="126"/>
      <w:bookmarkStart w:id="127" w:name="_Toc184312089"/>
      <w:bookmarkEnd w:id="127"/>
      <w:bookmarkStart w:id="128" w:name="_Toc184313269"/>
      <w:bookmarkEnd w:id="128"/>
      <w:bookmarkStart w:id="129" w:name="_Toc184312126"/>
      <w:bookmarkEnd w:id="129"/>
      <w:bookmarkStart w:id="130" w:name="_Toc184312068"/>
      <w:bookmarkEnd w:id="130"/>
      <w:bookmarkStart w:id="131" w:name="_Toc184308048"/>
      <w:bookmarkEnd w:id="131"/>
      <w:bookmarkStart w:id="132" w:name="_Toc184310276"/>
      <w:bookmarkEnd w:id="132"/>
      <w:bookmarkStart w:id="133" w:name="_Toc184310304"/>
      <w:bookmarkEnd w:id="133"/>
      <w:bookmarkStart w:id="134" w:name="_Toc184310292"/>
      <w:bookmarkEnd w:id="134"/>
      <w:bookmarkStart w:id="135" w:name="_Toc184312082"/>
      <w:bookmarkEnd w:id="135"/>
      <w:bookmarkStart w:id="136" w:name="_Toc184312084"/>
      <w:bookmarkEnd w:id="136"/>
      <w:bookmarkStart w:id="137" w:name="_Toc184314469"/>
      <w:bookmarkEnd w:id="137"/>
      <w:bookmarkStart w:id="138" w:name="_Toc184312120"/>
      <w:bookmarkEnd w:id="138"/>
      <w:bookmarkStart w:id="139" w:name="_Toc184310326"/>
      <w:bookmarkEnd w:id="139"/>
      <w:bookmarkStart w:id="140" w:name="_Toc184314455"/>
      <w:bookmarkEnd w:id="140"/>
      <w:bookmarkStart w:id="141" w:name="_Toc184312085"/>
      <w:bookmarkEnd w:id="141"/>
      <w:bookmarkStart w:id="142" w:name="_Toc184310287"/>
      <w:bookmarkEnd w:id="142"/>
      <w:bookmarkStart w:id="143" w:name="_Toc184310317"/>
      <w:bookmarkEnd w:id="143"/>
      <w:bookmarkStart w:id="144" w:name="_Toc184313291"/>
      <w:bookmarkEnd w:id="144"/>
      <w:bookmarkStart w:id="145" w:name="_Toc184310278"/>
      <w:bookmarkEnd w:id="145"/>
      <w:bookmarkStart w:id="146" w:name="_Toc184312122"/>
      <w:bookmarkEnd w:id="146"/>
      <w:bookmarkStart w:id="147" w:name="_Toc184308106"/>
      <w:bookmarkEnd w:id="147"/>
      <w:bookmarkStart w:id="148" w:name="_Toc184314410"/>
      <w:bookmarkEnd w:id="148"/>
      <w:bookmarkStart w:id="149" w:name="_Toc184314441"/>
      <w:bookmarkEnd w:id="149"/>
      <w:bookmarkStart w:id="150" w:name="_Toc184312079"/>
      <w:bookmarkEnd w:id="150"/>
      <w:bookmarkStart w:id="151" w:name="_Toc184308065"/>
      <w:bookmarkEnd w:id="151"/>
      <w:bookmarkStart w:id="152" w:name="_Toc184310334"/>
      <w:bookmarkEnd w:id="152"/>
      <w:bookmarkStart w:id="153" w:name="_Toc184314417"/>
      <w:bookmarkEnd w:id="153"/>
      <w:bookmarkStart w:id="154" w:name="_Toc184310284"/>
      <w:bookmarkEnd w:id="154"/>
      <w:bookmarkStart w:id="155" w:name="_Toc184310297"/>
      <w:bookmarkEnd w:id="155"/>
      <w:bookmarkStart w:id="156" w:name="_Toc184308062"/>
      <w:bookmarkEnd w:id="156"/>
      <w:bookmarkStart w:id="157" w:name="_Toc184308066"/>
      <w:bookmarkEnd w:id="157"/>
      <w:bookmarkStart w:id="158" w:name="_Toc184312123"/>
      <w:bookmarkEnd w:id="158"/>
      <w:bookmarkStart w:id="159" w:name="_Toc184308064"/>
      <w:bookmarkEnd w:id="159"/>
      <w:bookmarkStart w:id="160" w:name="_Toc184312073"/>
      <w:bookmarkEnd w:id="160"/>
      <w:bookmarkStart w:id="161" w:name="_Toc184312116"/>
      <w:bookmarkEnd w:id="161"/>
      <w:bookmarkStart w:id="162" w:name="_Toc184313276"/>
      <w:bookmarkEnd w:id="162"/>
      <w:bookmarkStart w:id="163" w:name="_Toc184312118"/>
      <w:bookmarkEnd w:id="163"/>
      <w:bookmarkStart w:id="164" w:name="_Toc184308079"/>
      <w:bookmarkEnd w:id="164"/>
      <w:bookmarkStart w:id="165" w:name="_Toc184308086"/>
      <w:bookmarkEnd w:id="165"/>
      <w:bookmarkStart w:id="166" w:name="_Toc184308040"/>
      <w:bookmarkEnd w:id="166"/>
      <w:bookmarkStart w:id="167" w:name="_Toc184314418"/>
      <w:bookmarkEnd w:id="167"/>
      <w:bookmarkStart w:id="168" w:name="_Toc184312130"/>
      <w:bookmarkEnd w:id="168"/>
      <w:bookmarkStart w:id="169" w:name="_Toc184312070"/>
      <w:bookmarkEnd w:id="169"/>
      <w:bookmarkStart w:id="170" w:name="_Toc184312134"/>
      <w:bookmarkEnd w:id="170"/>
      <w:bookmarkStart w:id="171" w:name="_Toc184308083"/>
      <w:bookmarkEnd w:id="171"/>
      <w:bookmarkStart w:id="172" w:name="_Toc184312090"/>
      <w:bookmarkEnd w:id="172"/>
      <w:bookmarkStart w:id="173" w:name="_Toc184308092"/>
      <w:bookmarkEnd w:id="173"/>
      <w:bookmarkStart w:id="174" w:name="_Toc184308089"/>
      <w:bookmarkEnd w:id="174"/>
      <w:bookmarkStart w:id="175" w:name="_Toc184313286"/>
      <w:bookmarkEnd w:id="175"/>
      <w:bookmarkStart w:id="176" w:name="_Toc184314412"/>
      <w:bookmarkEnd w:id="176"/>
      <w:bookmarkStart w:id="177" w:name="_Toc184313289"/>
      <w:bookmarkEnd w:id="177"/>
      <w:bookmarkStart w:id="178" w:name="_Toc184312075"/>
      <w:bookmarkEnd w:id="178"/>
      <w:bookmarkStart w:id="179" w:name="_Toc184310310"/>
      <w:bookmarkEnd w:id="179"/>
      <w:bookmarkStart w:id="180" w:name="_Toc184313270"/>
      <w:bookmarkEnd w:id="180"/>
      <w:bookmarkStart w:id="181" w:name="_Toc184314435"/>
      <w:bookmarkEnd w:id="181"/>
      <w:bookmarkStart w:id="182" w:name="_Toc184314422"/>
      <w:bookmarkEnd w:id="182"/>
      <w:bookmarkStart w:id="183" w:name="_Toc184313249"/>
      <w:bookmarkEnd w:id="183"/>
      <w:bookmarkStart w:id="184" w:name="_Toc184314453"/>
      <w:bookmarkEnd w:id="184"/>
      <w:bookmarkStart w:id="185" w:name="_Toc184314445"/>
      <w:bookmarkEnd w:id="185"/>
      <w:bookmarkStart w:id="186" w:name="_Toc184314434"/>
      <w:bookmarkEnd w:id="186"/>
      <w:bookmarkStart w:id="187" w:name="_Toc184312092"/>
      <w:bookmarkEnd w:id="187"/>
      <w:bookmarkStart w:id="188" w:name="_Toc184314454"/>
      <w:bookmarkEnd w:id="188"/>
      <w:bookmarkStart w:id="189" w:name="_Toc184308053"/>
      <w:bookmarkEnd w:id="189"/>
      <w:bookmarkStart w:id="190" w:name="_Toc184308049"/>
      <w:bookmarkEnd w:id="190"/>
      <w:bookmarkStart w:id="191" w:name="_Toc184308091"/>
      <w:bookmarkEnd w:id="191"/>
      <w:bookmarkStart w:id="192" w:name="_Toc184314442"/>
      <w:bookmarkEnd w:id="192"/>
      <w:bookmarkStart w:id="193" w:name="_Toc184312119"/>
      <w:bookmarkEnd w:id="193"/>
      <w:bookmarkStart w:id="194" w:name="_Toc184314447"/>
      <w:bookmarkEnd w:id="194"/>
      <w:bookmarkStart w:id="195" w:name="_Toc184314457"/>
      <w:bookmarkEnd w:id="195"/>
      <w:bookmarkStart w:id="196" w:name="_Toc184313261"/>
      <w:bookmarkEnd w:id="196"/>
      <w:bookmarkStart w:id="197" w:name="_Toc184313295"/>
      <w:bookmarkEnd w:id="197"/>
      <w:bookmarkStart w:id="198" w:name="_Toc184308087"/>
      <w:bookmarkEnd w:id="198"/>
      <w:bookmarkStart w:id="199" w:name="_Toc184310322"/>
      <w:bookmarkEnd w:id="199"/>
      <w:bookmarkStart w:id="200" w:name="_Toc184310312"/>
      <w:bookmarkEnd w:id="200"/>
      <w:bookmarkStart w:id="201" w:name="_Toc184312088"/>
      <w:bookmarkEnd w:id="201"/>
      <w:bookmarkStart w:id="202" w:name="_Toc184312098"/>
      <w:bookmarkEnd w:id="202"/>
      <w:bookmarkStart w:id="203" w:name="_Toc184313271"/>
      <w:bookmarkEnd w:id="203"/>
      <w:bookmarkStart w:id="204" w:name="_Toc184308085"/>
      <w:bookmarkEnd w:id="204"/>
      <w:bookmarkStart w:id="205" w:name="_Toc184310333"/>
      <w:bookmarkEnd w:id="205"/>
      <w:bookmarkStart w:id="206" w:name="_Toc184313245"/>
      <w:bookmarkEnd w:id="206"/>
      <w:bookmarkStart w:id="207" w:name="_Toc184314461"/>
      <w:bookmarkEnd w:id="207"/>
      <w:bookmarkStart w:id="208" w:name="_Toc184313239"/>
      <w:bookmarkEnd w:id="208"/>
      <w:bookmarkStart w:id="209" w:name="_Toc184312094"/>
      <w:bookmarkEnd w:id="209"/>
      <w:bookmarkStart w:id="210" w:name="_Toc184308074"/>
      <w:bookmarkEnd w:id="210"/>
      <w:bookmarkStart w:id="211" w:name="_Toc184310275"/>
      <w:bookmarkEnd w:id="211"/>
      <w:bookmarkStart w:id="212" w:name="_Toc184312138"/>
      <w:bookmarkEnd w:id="212"/>
      <w:bookmarkStart w:id="213" w:name="_Toc184308088"/>
      <w:bookmarkEnd w:id="213"/>
      <w:bookmarkStart w:id="214" w:name="_Toc184308076"/>
      <w:bookmarkEnd w:id="214"/>
      <w:bookmarkStart w:id="215" w:name="_Toc184312097"/>
      <w:bookmarkEnd w:id="215"/>
      <w:bookmarkStart w:id="216" w:name="_Toc184308067"/>
      <w:bookmarkEnd w:id="216"/>
      <w:bookmarkStart w:id="217" w:name="_Toc184310291"/>
      <w:bookmarkEnd w:id="217"/>
      <w:bookmarkStart w:id="218" w:name="_Toc184314430"/>
      <w:bookmarkEnd w:id="218"/>
      <w:bookmarkStart w:id="219" w:name="_Toc184312096"/>
      <w:bookmarkEnd w:id="219"/>
      <w:bookmarkStart w:id="220" w:name="_Toc184308044"/>
      <w:bookmarkEnd w:id="220"/>
      <w:bookmarkStart w:id="221" w:name="_Toc184312135"/>
      <w:bookmarkEnd w:id="221"/>
      <w:bookmarkStart w:id="222" w:name="_Toc184312091"/>
      <w:bookmarkEnd w:id="222"/>
      <w:bookmarkStart w:id="223" w:name="_Toc184314413"/>
      <w:bookmarkEnd w:id="223"/>
      <w:bookmarkStart w:id="224" w:name="_Toc184310319"/>
      <w:bookmarkEnd w:id="224"/>
      <w:bookmarkStart w:id="225" w:name="_Toc184310327"/>
      <w:bookmarkEnd w:id="225"/>
      <w:bookmarkStart w:id="226" w:name="_Toc184313244"/>
      <w:bookmarkEnd w:id="226"/>
      <w:bookmarkStart w:id="227" w:name="_Toc184310337"/>
      <w:bookmarkEnd w:id="227"/>
      <w:bookmarkStart w:id="228" w:name="_Toc184310285"/>
      <w:bookmarkEnd w:id="228"/>
      <w:bookmarkStart w:id="229" w:name="_Toc184313287"/>
      <w:bookmarkEnd w:id="229"/>
      <w:bookmarkStart w:id="230" w:name="_Toc184308078"/>
      <w:bookmarkEnd w:id="230"/>
      <w:bookmarkStart w:id="231" w:name="_Toc184308101"/>
      <w:bookmarkEnd w:id="231"/>
      <w:bookmarkStart w:id="232" w:name="_Toc184314467"/>
      <w:bookmarkEnd w:id="232"/>
      <w:bookmarkStart w:id="233" w:name="_Toc184310329"/>
      <w:bookmarkEnd w:id="233"/>
      <w:bookmarkStart w:id="234" w:name="_Toc184314431"/>
      <w:bookmarkEnd w:id="234"/>
      <w:bookmarkStart w:id="235" w:name="_Toc184308080"/>
      <w:bookmarkEnd w:id="235"/>
      <w:bookmarkStart w:id="236" w:name="_Toc184310323"/>
      <w:bookmarkEnd w:id="236"/>
      <w:bookmarkStart w:id="237" w:name="_Toc184308100"/>
      <w:bookmarkEnd w:id="237"/>
      <w:bookmarkStart w:id="238" w:name="_Toc184308103"/>
      <w:bookmarkEnd w:id="238"/>
      <w:bookmarkStart w:id="239" w:name="_Toc184310321"/>
      <w:bookmarkEnd w:id="239"/>
      <w:bookmarkStart w:id="240" w:name="_Toc184312133"/>
      <w:bookmarkEnd w:id="240"/>
      <w:bookmarkStart w:id="241" w:name="_Toc184314446"/>
      <w:bookmarkEnd w:id="241"/>
      <w:bookmarkStart w:id="242" w:name="_Toc184313297"/>
      <w:bookmarkEnd w:id="242"/>
      <w:bookmarkStart w:id="243" w:name="_Toc184310330"/>
      <w:bookmarkEnd w:id="243"/>
      <w:bookmarkStart w:id="244" w:name="_Toc184312115"/>
      <w:bookmarkEnd w:id="244"/>
      <w:bookmarkStart w:id="245" w:name="_Toc184308097"/>
      <w:bookmarkEnd w:id="245"/>
      <w:bookmarkStart w:id="246" w:name="_Toc184310340"/>
      <w:bookmarkEnd w:id="246"/>
      <w:bookmarkStart w:id="247" w:name="_Toc184310311"/>
      <w:bookmarkEnd w:id="247"/>
      <w:bookmarkStart w:id="248" w:name="_Toc184312108"/>
      <w:bookmarkEnd w:id="248"/>
      <w:bookmarkStart w:id="249" w:name="_Toc184313260"/>
      <w:bookmarkEnd w:id="249"/>
      <w:bookmarkStart w:id="250" w:name="_Toc184308063"/>
      <w:bookmarkEnd w:id="250"/>
      <w:bookmarkStart w:id="251" w:name="_Toc184314420"/>
      <w:bookmarkEnd w:id="251"/>
      <w:bookmarkStart w:id="252" w:name="_Toc184310290"/>
      <w:bookmarkEnd w:id="252"/>
      <w:bookmarkStart w:id="253" w:name="_Toc184313273"/>
      <w:bookmarkEnd w:id="253"/>
      <w:bookmarkStart w:id="254" w:name="_Toc184314411"/>
      <w:bookmarkEnd w:id="254"/>
      <w:bookmarkStart w:id="255" w:name="_Toc184310332"/>
      <w:bookmarkEnd w:id="255"/>
      <w:bookmarkStart w:id="256" w:name="_Toc184312105"/>
      <w:bookmarkEnd w:id="256"/>
      <w:bookmarkStart w:id="257" w:name="_Toc184313267"/>
      <w:bookmarkEnd w:id="257"/>
      <w:bookmarkStart w:id="258" w:name="_Toc184314438"/>
      <w:bookmarkEnd w:id="258"/>
      <w:bookmarkStart w:id="259" w:name="_Toc184313298"/>
      <w:bookmarkEnd w:id="259"/>
      <w:bookmarkStart w:id="260" w:name="_Toc184310296"/>
      <w:bookmarkEnd w:id="260"/>
      <w:bookmarkStart w:id="261" w:name="_Toc184314479"/>
      <w:bookmarkEnd w:id="261"/>
      <w:bookmarkStart w:id="262" w:name="_Toc184310343"/>
      <w:bookmarkEnd w:id="262"/>
      <w:bookmarkStart w:id="263" w:name="_Toc184313255"/>
      <w:bookmarkEnd w:id="263"/>
      <w:bookmarkStart w:id="264" w:name="_Toc184308082"/>
      <w:bookmarkEnd w:id="264"/>
      <w:bookmarkStart w:id="265" w:name="_Toc184308060"/>
      <w:bookmarkEnd w:id="265"/>
      <w:bookmarkStart w:id="266" w:name="_Toc184308041"/>
      <w:bookmarkEnd w:id="266"/>
      <w:bookmarkStart w:id="267" w:name="_Toc184308061"/>
      <w:bookmarkEnd w:id="267"/>
      <w:bookmarkStart w:id="268" w:name="_Toc184312087"/>
      <w:bookmarkEnd w:id="268"/>
      <w:bookmarkStart w:id="269" w:name="_Toc184312114"/>
      <w:bookmarkEnd w:id="269"/>
      <w:bookmarkStart w:id="270" w:name="_Toc184310339"/>
      <w:bookmarkEnd w:id="270"/>
      <w:bookmarkStart w:id="271" w:name="_Toc184314419"/>
      <w:bookmarkEnd w:id="271"/>
      <w:bookmarkStart w:id="272" w:name="_Toc184313304"/>
      <w:bookmarkEnd w:id="272"/>
      <w:bookmarkStart w:id="273" w:name="_Toc184314466"/>
      <w:bookmarkEnd w:id="273"/>
      <w:bookmarkStart w:id="274" w:name="_Toc184314436"/>
      <w:bookmarkEnd w:id="274"/>
      <w:bookmarkStart w:id="275" w:name="_Toc184314468"/>
      <w:bookmarkEnd w:id="275"/>
      <w:bookmarkStart w:id="276" w:name="_Toc184308051"/>
      <w:bookmarkEnd w:id="276"/>
      <w:bookmarkStart w:id="277" w:name="_Toc184313275"/>
      <w:bookmarkEnd w:id="277"/>
      <w:bookmarkStart w:id="278" w:name="_Toc184310336"/>
      <w:bookmarkEnd w:id="278"/>
      <w:bookmarkStart w:id="279" w:name="_Toc184312077"/>
      <w:bookmarkEnd w:id="279"/>
      <w:bookmarkStart w:id="280" w:name="_Toc184310344"/>
      <w:bookmarkEnd w:id="280"/>
      <w:bookmarkStart w:id="281" w:name="_Toc184313294"/>
      <w:bookmarkEnd w:id="281"/>
      <w:bookmarkStart w:id="282" w:name="_Toc184312101"/>
      <w:bookmarkEnd w:id="282"/>
      <w:bookmarkStart w:id="283" w:name="_Toc184310279"/>
      <w:bookmarkEnd w:id="283"/>
      <w:bookmarkStart w:id="284" w:name="_Toc184314426"/>
      <w:bookmarkEnd w:id="284"/>
      <w:bookmarkStart w:id="285" w:name="_Toc184314473"/>
      <w:bookmarkEnd w:id="285"/>
      <w:bookmarkStart w:id="286" w:name="_Toc184313301"/>
      <w:bookmarkEnd w:id="286"/>
      <w:bookmarkStart w:id="287" w:name="_Toc184312128"/>
      <w:bookmarkEnd w:id="287"/>
      <w:bookmarkStart w:id="288" w:name="_Toc184314459"/>
      <w:bookmarkEnd w:id="288"/>
      <w:bookmarkStart w:id="289" w:name="_Toc184313299"/>
      <w:bookmarkEnd w:id="289"/>
      <w:bookmarkStart w:id="290" w:name="_Toc184312125"/>
      <w:bookmarkEnd w:id="290"/>
      <w:bookmarkStart w:id="291" w:name="_Toc184308057"/>
      <w:bookmarkEnd w:id="291"/>
      <w:bookmarkStart w:id="292" w:name="_Toc184310300"/>
      <w:bookmarkEnd w:id="292"/>
      <w:bookmarkStart w:id="293" w:name="_Toc184312074"/>
      <w:bookmarkEnd w:id="293"/>
      <w:bookmarkStart w:id="294" w:name="_Toc184310320"/>
      <w:bookmarkEnd w:id="294"/>
      <w:bookmarkStart w:id="295" w:name="_Toc184308073"/>
      <w:bookmarkEnd w:id="295"/>
      <w:bookmarkStart w:id="296" w:name="_Toc184308043"/>
      <w:bookmarkEnd w:id="296"/>
      <w:bookmarkStart w:id="297" w:name="_Toc184312112"/>
      <w:bookmarkEnd w:id="297"/>
      <w:bookmarkStart w:id="298" w:name="_Toc184308096"/>
      <w:bookmarkEnd w:id="298"/>
      <w:bookmarkStart w:id="299" w:name="_Toc184308056"/>
      <w:bookmarkEnd w:id="299"/>
      <w:bookmarkStart w:id="300" w:name="_Toc184314425"/>
      <w:bookmarkEnd w:id="300"/>
      <w:bookmarkStart w:id="301" w:name="_Toc184313258"/>
      <w:bookmarkEnd w:id="301"/>
      <w:bookmarkStart w:id="302" w:name="_Toc184310283"/>
      <w:bookmarkEnd w:id="302"/>
      <w:bookmarkStart w:id="303" w:name="_Toc184313279"/>
      <w:bookmarkEnd w:id="303"/>
      <w:bookmarkStart w:id="304" w:name="_Toc184310335"/>
      <w:bookmarkEnd w:id="304"/>
      <w:bookmarkStart w:id="305" w:name="_Toc184314462"/>
      <w:bookmarkEnd w:id="305"/>
      <w:bookmarkStart w:id="306" w:name="_Toc184314482"/>
      <w:bookmarkEnd w:id="306"/>
      <w:bookmarkStart w:id="307" w:name="_Toc184313259"/>
      <w:bookmarkEnd w:id="307"/>
      <w:bookmarkStart w:id="308" w:name="_Toc184314444"/>
      <w:bookmarkEnd w:id="308"/>
      <w:bookmarkStart w:id="309" w:name="_Toc184314477"/>
      <w:bookmarkEnd w:id="309"/>
      <w:bookmarkStart w:id="310" w:name="_Toc184312083"/>
      <w:bookmarkEnd w:id="310"/>
      <w:bookmarkStart w:id="311" w:name="_Toc184308037"/>
      <w:bookmarkEnd w:id="311"/>
      <w:bookmarkStart w:id="312" w:name="_Toc184310328"/>
      <w:bookmarkEnd w:id="312"/>
      <w:bookmarkStart w:id="313" w:name="_Toc184313307"/>
      <w:bookmarkEnd w:id="313"/>
      <w:bookmarkStart w:id="314" w:name="_Toc184312107"/>
      <w:bookmarkEnd w:id="314"/>
      <w:bookmarkStart w:id="315" w:name="_Toc184312067"/>
      <w:bookmarkEnd w:id="315"/>
      <w:bookmarkStart w:id="316" w:name="_Toc184312102"/>
      <w:bookmarkEnd w:id="316"/>
      <w:bookmarkStart w:id="317" w:name="_Toc184308036"/>
      <w:bookmarkEnd w:id="317"/>
      <w:bookmarkStart w:id="318" w:name="_Toc184312129"/>
      <w:bookmarkEnd w:id="318"/>
      <w:bookmarkStart w:id="319" w:name="_Toc184314449"/>
      <w:bookmarkEnd w:id="319"/>
      <w:bookmarkStart w:id="320" w:name="_Toc184310342"/>
      <w:bookmarkEnd w:id="320"/>
      <w:bookmarkStart w:id="321" w:name="_Toc184308054"/>
      <w:bookmarkEnd w:id="321"/>
      <w:bookmarkStart w:id="322" w:name="_Toc184308075"/>
      <w:bookmarkEnd w:id="322"/>
      <w:bookmarkStart w:id="323" w:name="_Toc184310308"/>
      <w:bookmarkEnd w:id="323"/>
      <w:bookmarkStart w:id="324" w:name="_Toc184312104"/>
      <w:bookmarkEnd w:id="324"/>
      <w:bookmarkStart w:id="325" w:name="_Toc184314463"/>
      <w:bookmarkEnd w:id="325"/>
      <w:bookmarkStart w:id="326" w:name="_Toc184313240"/>
      <w:bookmarkEnd w:id="326"/>
      <w:bookmarkStart w:id="327" w:name="_Toc184310306"/>
      <w:bookmarkEnd w:id="327"/>
      <w:bookmarkStart w:id="328" w:name="_Toc184308058"/>
      <w:bookmarkEnd w:id="328"/>
      <w:bookmarkStart w:id="329" w:name="_Toc184314456"/>
      <w:bookmarkEnd w:id="329"/>
      <w:bookmarkStart w:id="330" w:name="_Toc184312100"/>
      <w:bookmarkEnd w:id="330"/>
      <w:bookmarkStart w:id="331" w:name="_Toc184312069"/>
      <w:bookmarkEnd w:id="331"/>
      <w:bookmarkStart w:id="332" w:name="_Toc184308070"/>
      <w:bookmarkEnd w:id="332"/>
      <w:bookmarkStart w:id="333" w:name="_Toc184313274"/>
      <w:bookmarkEnd w:id="333"/>
      <w:bookmarkStart w:id="334" w:name="_Toc184308077"/>
      <w:bookmarkEnd w:id="334"/>
      <w:bookmarkStart w:id="335" w:name="_Toc184313246"/>
      <w:bookmarkEnd w:id="335"/>
      <w:bookmarkStart w:id="336" w:name="_Toc184313268"/>
      <w:bookmarkEnd w:id="336"/>
      <w:bookmarkStart w:id="337" w:name="_Toc184314437"/>
      <w:bookmarkEnd w:id="337"/>
      <w:bookmarkStart w:id="338" w:name="_Toc184313241"/>
      <w:bookmarkEnd w:id="338"/>
      <w:bookmarkStart w:id="339" w:name="_Toc184312137"/>
      <w:bookmarkEnd w:id="339"/>
      <w:bookmarkStart w:id="340" w:name="_Toc184308069"/>
      <w:bookmarkEnd w:id="340"/>
      <w:bookmarkStart w:id="341" w:name="_Toc184313306"/>
      <w:bookmarkEnd w:id="341"/>
      <w:bookmarkStart w:id="342" w:name="_Toc184312071"/>
      <w:bookmarkEnd w:id="342"/>
      <w:bookmarkStart w:id="343" w:name="_Toc184310286"/>
      <w:bookmarkEnd w:id="343"/>
      <w:bookmarkStart w:id="344" w:name="_Toc184310282"/>
      <w:bookmarkEnd w:id="344"/>
      <w:bookmarkStart w:id="345" w:name="_Toc184308071"/>
      <w:bookmarkEnd w:id="345"/>
      <w:bookmarkStart w:id="346" w:name="_Toc184313262"/>
      <w:bookmarkEnd w:id="346"/>
      <w:bookmarkStart w:id="347" w:name="_Toc184310299"/>
      <w:bookmarkEnd w:id="347"/>
      <w:bookmarkStart w:id="348" w:name="_Toc184312072"/>
      <w:bookmarkEnd w:id="348"/>
      <w:bookmarkStart w:id="349" w:name="_Toc184313263"/>
      <w:bookmarkEnd w:id="349"/>
      <w:bookmarkStart w:id="350" w:name="_Toc184313280"/>
      <w:bookmarkEnd w:id="350"/>
      <w:bookmarkStart w:id="351" w:name="_Toc184308038"/>
      <w:bookmarkEnd w:id="351"/>
      <w:bookmarkStart w:id="352" w:name="_Toc184313272"/>
      <w:bookmarkEnd w:id="352"/>
      <w:bookmarkStart w:id="353" w:name="_Toc184313242"/>
      <w:bookmarkEnd w:id="353"/>
      <w:bookmarkStart w:id="354" w:name="_Toc184313305"/>
      <w:bookmarkEnd w:id="354"/>
      <w:bookmarkStart w:id="355" w:name="_Toc184312127"/>
      <w:bookmarkEnd w:id="355"/>
      <w:bookmarkStart w:id="356" w:name="_Toc184310298"/>
      <w:bookmarkEnd w:id="356"/>
      <w:bookmarkStart w:id="357" w:name="_Toc184314451"/>
      <w:bookmarkEnd w:id="357"/>
      <w:bookmarkStart w:id="358" w:name="_Toc184313264"/>
      <w:bookmarkEnd w:id="358"/>
      <w:bookmarkStart w:id="359" w:name="_Toc184313292"/>
      <w:bookmarkEnd w:id="359"/>
      <w:bookmarkStart w:id="360" w:name="_Toc184314428"/>
      <w:bookmarkEnd w:id="360"/>
      <w:bookmarkStart w:id="361" w:name="_Toc184313293"/>
      <w:bookmarkEnd w:id="361"/>
      <w:bookmarkStart w:id="362" w:name="_Toc184313266"/>
      <w:bookmarkEnd w:id="362"/>
      <w:bookmarkStart w:id="363" w:name="_Toc184310318"/>
      <w:bookmarkEnd w:id="363"/>
      <w:bookmarkStart w:id="364" w:name="_Toc184314481"/>
      <w:bookmarkEnd w:id="364"/>
      <w:bookmarkStart w:id="365" w:name="_Toc184308081"/>
      <w:bookmarkEnd w:id="365"/>
      <w:bookmarkStart w:id="366" w:name="_Toc184312086"/>
      <w:bookmarkEnd w:id="366"/>
      <w:bookmarkStart w:id="367" w:name="_Toc184312109"/>
      <w:bookmarkEnd w:id="367"/>
      <w:bookmarkStart w:id="368" w:name="_Toc184310274"/>
      <w:bookmarkEnd w:id="368"/>
      <w:bookmarkStart w:id="369" w:name="_Toc184314470"/>
      <w:bookmarkEnd w:id="369"/>
      <w:bookmarkStart w:id="370" w:name="_Toc184313300"/>
      <w:bookmarkEnd w:id="370"/>
      <w:bookmarkStart w:id="371" w:name="_Toc184308045"/>
      <w:bookmarkEnd w:id="371"/>
      <w:bookmarkStart w:id="372" w:name="_Toc184312131"/>
      <w:bookmarkEnd w:id="372"/>
      <w:bookmarkStart w:id="373" w:name="_Toc184313309"/>
      <w:bookmarkEnd w:id="373"/>
      <w:bookmarkStart w:id="374" w:name="_Toc184314424"/>
      <w:bookmarkEnd w:id="374"/>
      <w:bookmarkStart w:id="375" w:name="_Toc184314478"/>
      <w:bookmarkEnd w:id="375"/>
      <w:bookmarkStart w:id="376" w:name="_Toc184308093"/>
      <w:bookmarkEnd w:id="376"/>
      <w:bookmarkStart w:id="377" w:name="_Toc184313256"/>
      <w:bookmarkEnd w:id="377"/>
      <w:bookmarkStart w:id="378" w:name="_Toc184308094"/>
      <w:bookmarkEnd w:id="378"/>
      <w:bookmarkStart w:id="379" w:name="_Toc184314439"/>
      <w:bookmarkEnd w:id="379"/>
      <w:bookmarkStart w:id="380" w:name="_Toc184313254"/>
      <w:bookmarkEnd w:id="380"/>
      <w:bookmarkStart w:id="381" w:name="_Toc184312121"/>
      <w:bookmarkEnd w:id="381"/>
      <w:bookmarkStart w:id="382" w:name="_Toc184308042"/>
      <w:bookmarkEnd w:id="382"/>
      <w:bookmarkStart w:id="383" w:name="_Toc184310301"/>
      <w:bookmarkEnd w:id="383"/>
      <w:bookmarkStart w:id="384" w:name="_Toc184312113"/>
      <w:bookmarkEnd w:id="384"/>
      <w:bookmarkStart w:id="385" w:name="_Toc184313251"/>
      <w:bookmarkEnd w:id="385"/>
      <w:bookmarkStart w:id="386" w:name="_Toc184313303"/>
      <w:bookmarkEnd w:id="386"/>
      <w:bookmarkStart w:id="387" w:name="_Toc184310316"/>
      <w:bookmarkEnd w:id="387"/>
      <w:bookmarkStart w:id="388" w:name="_Toc184310331"/>
      <w:bookmarkEnd w:id="388"/>
      <w:bookmarkStart w:id="389" w:name="_Toc184308098"/>
      <w:bookmarkEnd w:id="389"/>
      <w:bookmarkStart w:id="390" w:name="_Toc184314475"/>
      <w:bookmarkEnd w:id="390"/>
      <w:bookmarkStart w:id="391" w:name="_Toc184308072"/>
      <w:bookmarkEnd w:id="391"/>
      <w:bookmarkStart w:id="392" w:name="_Toc184313250"/>
      <w:bookmarkEnd w:id="392"/>
      <w:bookmarkStart w:id="393" w:name="_Toc184310305"/>
      <w:bookmarkEnd w:id="393"/>
      <w:bookmarkStart w:id="394" w:name="_Toc184310272"/>
      <w:bookmarkEnd w:id="394"/>
      <w:bookmarkStart w:id="395" w:name="_Toc184308099"/>
      <w:bookmarkEnd w:id="395"/>
      <w:bookmarkStart w:id="396" w:name="_Toc184314433"/>
      <w:bookmarkEnd w:id="396"/>
      <w:bookmarkStart w:id="397" w:name="_Toc184313277"/>
      <w:bookmarkEnd w:id="397"/>
      <w:bookmarkStart w:id="398" w:name="_Toc184312081"/>
      <w:bookmarkEnd w:id="398"/>
      <w:bookmarkStart w:id="399" w:name="_Toc184313248"/>
      <w:bookmarkEnd w:id="399"/>
      <w:bookmarkStart w:id="400" w:name="_Toc184312132"/>
      <w:bookmarkEnd w:id="400"/>
      <w:bookmarkStart w:id="401" w:name="_Toc184314423"/>
      <w:bookmarkEnd w:id="401"/>
      <w:bookmarkStart w:id="402" w:name="_Toc184314443"/>
      <w:bookmarkEnd w:id="402"/>
      <w:bookmarkStart w:id="403" w:name="_Toc184314476"/>
      <w:bookmarkEnd w:id="403"/>
      <w:bookmarkStart w:id="404" w:name="_Toc184313247"/>
      <w:bookmarkEnd w:id="404"/>
      <w:bookmarkStart w:id="405" w:name="_Toc184312080"/>
      <w:bookmarkEnd w:id="405"/>
      <w:bookmarkStart w:id="406" w:name="_Toc184310307"/>
      <w:bookmarkEnd w:id="406"/>
      <w:bookmarkStart w:id="407" w:name="_Toc184308055"/>
      <w:bookmarkEnd w:id="407"/>
      <w:r>
        <w:rPr>
          <w:rFonts w:hint="eastAsia" w:ascii="仿宋" w:hAnsi="仿宋" w:eastAsia="仿宋" w:cs="仿宋"/>
          <w:b/>
          <w:color w:val="auto"/>
          <w:sz w:val="36"/>
          <w:szCs w:val="36"/>
          <w:highlight w:val="none"/>
        </w:rPr>
        <w:t>交易办法</w:t>
      </w:r>
    </w:p>
    <w:p w14:paraId="5780BE35">
      <w:pPr>
        <w:snapToGrid w:val="0"/>
        <w:spacing w:line="360" w:lineRule="auto"/>
        <w:jc w:val="center"/>
        <w:rPr>
          <w:rFonts w:ascii="仿宋" w:hAnsi="仿宋" w:eastAsia="仿宋" w:cs="仿宋"/>
          <w:b/>
          <w:color w:val="auto"/>
          <w:sz w:val="32"/>
          <w:szCs w:val="20"/>
          <w:highlight w:val="none"/>
        </w:rPr>
      </w:pPr>
      <w:r>
        <w:rPr>
          <w:rFonts w:hint="eastAsia" w:ascii="仿宋" w:hAnsi="仿宋" w:eastAsia="仿宋" w:cs="仿宋"/>
          <w:b/>
          <w:color w:val="auto"/>
          <w:sz w:val="32"/>
          <w:szCs w:val="20"/>
          <w:highlight w:val="none"/>
        </w:rPr>
        <w:t>交易办法前附表</w:t>
      </w:r>
    </w:p>
    <w:p w14:paraId="432846C9">
      <w:pPr>
        <w:widowControl/>
        <w:spacing w:line="360" w:lineRule="auto"/>
        <w:jc w:val="left"/>
        <w:rPr>
          <w:rFonts w:ascii="仿宋" w:hAnsi="仿宋" w:eastAsia="仿宋" w:cs="仿宋"/>
          <w:color w:val="auto"/>
          <w:highlight w:val="none"/>
        </w:rPr>
      </w:pPr>
      <w:r>
        <w:rPr>
          <w:rFonts w:hint="eastAsia" w:ascii="仿宋" w:hAnsi="仿宋" w:eastAsia="仿宋" w:cs="仿宋"/>
          <w:color w:val="auto"/>
          <w:sz w:val="24"/>
          <w:highlight w:val="none"/>
        </w:rPr>
        <w:t>1</w:t>
      </w:r>
      <w:r>
        <w:rPr>
          <w:rFonts w:hint="eastAsia" w:ascii="仿宋" w:hAnsi="仿宋" w:eastAsia="仿宋" w:cs="仿宋"/>
          <w:color w:val="auto"/>
          <w:kern w:val="0"/>
          <w:sz w:val="24"/>
          <w:highlight w:val="none"/>
        </w:rPr>
        <w:t>、</w:t>
      </w:r>
      <w:r>
        <w:rPr>
          <w:rFonts w:hint="eastAsia" w:ascii="仿宋" w:hAnsi="仿宋" w:eastAsia="仿宋" w:cs="仿宋"/>
          <w:color w:val="auto"/>
          <w:sz w:val="24"/>
          <w:highlight w:val="none"/>
        </w:rPr>
        <w:t>商务资信</w:t>
      </w:r>
      <w:r>
        <w:rPr>
          <w:rFonts w:hint="eastAsia" w:ascii="仿宋" w:hAnsi="仿宋" w:eastAsia="仿宋" w:cs="仿宋"/>
          <w:color w:val="auto"/>
          <w:kern w:val="0"/>
          <w:sz w:val="24"/>
          <w:highlight w:val="none"/>
        </w:rPr>
        <w:t>部分（</w:t>
      </w: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rPr>
        <w:t>分）</w:t>
      </w:r>
    </w:p>
    <w:tbl>
      <w:tblPr>
        <w:tblStyle w:val="61"/>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22"/>
        <w:gridCol w:w="6084"/>
        <w:gridCol w:w="960"/>
        <w:gridCol w:w="1199"/>
      </w:tblGrid>
      <w:tr w14:paraId="2442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853" w:type="dxa"/>
            <w:vAlign w:val="center"/>
          </w:tcPr>
          <w:p w14:paraId="7B664E69">
            <w:pPr>
              <w:widowControl/>
              <w:spacing w:line="400" w:lineRule="exact"/>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序号</w:t>
            </w:r>
          </w:p>
        </w:tc>
        <w:tc>
          <w:tcPr>
            <w:tcW w:w="6806" w:type="dxa"/>
            <w:gridSpan w:val="2"/>
            <w:vAlign w:val="center"/>
          </w:tcPr>
          <w:p w14:paraId="37486D14">
            <w:pPr>
              <w:widowControl/>
              <w:spacing w:line="400" w:lineRule="exact"/>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评分内容和标准</w:t>
            </w:r>
          </w:p>
        </w:tc>
        <w:tc>
          <w:tcPr>
            <w:tcW w:w="960" w:type="dxa"/>
            <w:vAlign w:val="center"/>
          </w:tcPr>
          <w:p w14:paraId="64AB0D37">
            <w:pPr>
              <w:widowControl/>
              <w:spacing w:line="400" w:lineRule="exact"/>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权重</w:t>
            </w:r>
          </w:p>
        </w:tc>
        <w:tc>
          <w:tcPr>
            <w:tcW w:w="1199" w:type="dxa"/>
            <w:vAlign w:val="center"/>
          </w:tcPr>
          <w:p w14:paraId="6492D2D1">
            <w:pPr>
              <w:widowControl/>
              <w:spacing w:line="400" w:lineRule="exact"/>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主客观分</w:t>
            </w:r>
          </w:p>
        </w:tc>
      </w:tr>
      <w:tr w14:paraId="4093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853" w:type="dxa"/>
            <w:vMerge w:val="restart"/>
            <w:vAlign w:val="center"/>
          </w:tcPr>
          <w:p w14:paraId="0C3AF0B9">
            <w:pPr>
              <w:rPr>
                <w:rFonts w:ascii="仿宋" w:hAnsi="仿宋" w:eastAsia="仿宋" w:cs="仿宋"/>
                <w:color w:val="auto"/>
                <w:sz w:val="24"/>
                <w:highlight w:val="none"/>
              </w:rPr>
            </w:pPr>
            <w:r>
              <w:rPr>
                <w:rFonts w:hint="eastAsia" w:ascii="仿宋" w:hAnsi="仿宋" w:eastAsia="仿宋" w:cs="仿宋"/>
                <w:color w:val="auto"/>
                <w:sz w:val="24"/>
                <w:highlight w:val="none"/>
              </w:rPr>
              <w:t>商务资 信分（</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14:paraId="22F9A83F">
            <w:pPr>
              <w:rPr>
                <w:rFonts w:ascii="仿宋" w:hAnsi="仿宋" w:eastAsia="仿宋" w:cs="仿宋"/>
                <w:color w:val="auto"/>
                <w:sz w:val="24"/>
                <w:highlight w:val="none"/>
              </w:rPr>
            </w:pPr>
          </w:p>
        </w:tc>
        <w:tc>
          <w:tcPr>
            <w:tcW w:w="722" w:type="dxa"/>
            <w:vAlign w:val="center"/>
          </w:tcPr>
          <w:p w14:paraId="5814EA6B">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rPr>
              <w:t>1</w:t>
            </w:r>
          </w:p>
        </w:tc>
        <w:tc>
          <w:tcPr>
            <w:tcW w:w="6084" w:type="dxa"/>
            <w:vAlign w:val="center"/>
          </w:tcPr>
          <w:p w14:paraId="4C39F7DE">
            <w:pPr>
              <w:pStyle w:val="640"/>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响应人自202</w:t>
            </w:r>
            <w:r>
              <w:rPr>
                <w:rStyle w:val="641"/>
                <w:rFonts w:hint="eastAsia" w:ascii="仿宋" w:hAnsi="仿宋" w:eastAsia="仿宋" w:cs="宋体"/>
                <w:color w:val="auto"/>
                <w:sz w:val="24"/>
                <w:szCs w:val="24"/>
                <w:highlight w:val="none"/>
                <w:lang w:val="ja-JP" w:eastAsia="zh-CN" w:bidi="ja-JP"/>
              </w:rPr>
              <w:t>3</w:t>
            </w:r>
            <w:r>
              <w:rPr>
                <w:rStyle w:val="641"/>
                <w:rFonts w:hint="eastAsia" w:ascii="仿宋" w:hAnsi="仿宋" w:eastAsia="仿宋" w:cs="宋体"/>
                <w:color w:val="auto"/>
                <w:sz w:val="24"/>
                <w:szCs w:val="24"/>
                <w:highlight w:val="none"/>
                <w:lang w:val="ja-JP" w:eastAsia="ja-JP" w:bidi="ja-JP"/>
              </w:rPr>
              <w:t>年1月1日以来(以合同签订时间为准) 承担过类似业绩的</w:t>
            </w:r>
            <w:r>
              <w:rPr>
                <w:rStyle w:val="641"/>
                <w:rFonts w:hint="eastAsia" w:ascii="仿宋" w:hAnsi="仿宋" w:eastAsia="仿宋" w:cs="宋体"/>
                <w:color w:val="auto"/>
                <w:sz w:val="24"/>
                <w:szCs w:val="24"/>
                <w:highlight w:val="none"/>
                <w:lang w:val="ja-JP" w:eastAsia="zh-CN" w:bidi="ja-JP"/>
              </w:rPr>
              <w:t>，每提供一个</w:t>
            </w:r>
            <w:r>
              <w:rPr>
                <w:rStyle w:val="641"/>
                <w:rFonts w:hint="eastAsia" w:ascii="仿宋" w:hAnsi="仿宋" w:eastAsia="仿宋" w:cs="宋体"/>
                <w:color w:val="auto"/>
                <w:sz w:val="24"/>
                <w:szCs w:val="24"/>
                <w:highlight w:val="none"/>
                <w:lang w:val="ja-JP" w:eastAsia="ja-JP" w:bidi="ja-JP"/>
              </w:rPr>
              <w:t>得0.5分，最高得1分。【证明材料：</w:t>
            </w:r>
            <w:r>
              <w:rPr>
                <w:rStyle w:val="641"/>
                <w:rFonts w:hint="eastAsia" w:ascii="仿宋" w:hAnsi="仿宋" w:eastAsia="仿宋" w:cs="宋体"/>
                <w:color w:val="auto"/>
                <w:sz w:val="24"/>
                <w:szCs w:val="24"/>
                <w:highlight w:val="none"/>
                <w:lang w:val="ja-JP" w:eastAsia="ja-JP" w:bidi="ja-JP"/>
              </w:rPr>
              <w:fldChar w:fldCharType="begin"/>
            </w:r>
            <w:r>
              <w:rPr>
                <w:rStyle w:val="641"/>
                <w:rFonts w:hint="eastAsia" w:ascii="仿宋" w:hAnsi="仿宋" w:eastAsia="仿宋" w:cs="宋体"/>
                <w:color w:val="auto"/>
                <w:sz w:val="24"/>
                <w:szCs w:val="24"/>
                <w:highlight w:val="none"/>
                <w:lang w:val="ja-JP" w:eastAsia="ja-JP" w:bidi="ja-JP"/>
              </w:rPr>
              <w:instrText xml:space="preserve"> = 1 \* GB3 </w:instrText>
            </w:r>
            <w:r>
              <w:rPr>
                <w:rStyle w:val="641"/>
                <w:rFonts w:hint="eastAsia" w:ascii="仿宋" w:hAnsi="仿宋" w:eastAsia="仿宋" w:cs="宋体"/>
                <w:color w:val="auto"/>
                <w:sz w:val="24"/>
                <w:szCs w:val="24"/>
                <w:highlight w:val="none"/>
                <w:lang w:val="ja-JP" w:eastAsia="ja-JP" w:bidi="ja-JP"/>
              </w:rPr>
              <w:fldChar w:fldCharType="separate"/>
            </w:r>
            <w:r>
              <w:rPr>
                <w:rStyle w:val="641"/>
                <w:rFonts w:hint="eastAsia" w:ascii="仿宋" w:hAnsi="仿宋" w:eastAsia="仿宋" w:cs="宋体"/>
                <w:color w:val="auto"/>
                <w:sz w:val="24"/>
                <w:szCs w:val="24"/>
                <w:highlight w:val="none"/>
                <w:lang w:val="ja-JP" w:eastAsia="ja-JP" w:bidi="ja-JP"/>
              </w:rPr>
              <w:t>①</w:t>
            </w:r>
            <w:r>
              <w:rPr>
                <w:rStyle w:val="641"/>
                <w:rFonts w:hint="eastAsia" w:ascii="仿宋" w:hAnsi="仿宋" w:eastAsia="仿宋" w:cs="宋体"/>
                <w:color w:val="auto"/>
                <w:sz w:val="24"/>
                <w:szCs w:val="24"/>
                <w:highlight w:val="none"/>
                <w:lang w:val="ja-JP" w:eastAsia="ja-JP" w:bidi="ja-JP"/>
              </w:rPr>
              <w:fldChar w:fldCharType="end"/>
            </w:r>
            <w:r>
              <w:rPr>
                <w:rStyle w:val="641"/>
                <w:rFonts w:hint="eastAsia" w:ascii="仿宋" w:hAnsi="仿宋" w:eastAsia="仿宋" w:cs="宋体"/>
                <w:color w:val="auto"/>
                <w:sz w:val="24"/>
                <w:szCs w:val="24"/>
                <w:highlight w:val="none"/>
                <w:lang w:val="ja-JP" w:eastAsia="ja-JP" w:bidi="ja-JP"/>
              </w:rPr>
              <w:t>响应文件中提供合同加盖公章</w:t>
            </w:r>
            <w:r>
              <w:rPr>
                <w:rStyle w:val="641"/>
                <w:rFonts w:hint="eastAsia" w:ascii="仿宋" w:hAnsi="仿宋" w:eastAsia="仿宋" w:cs="宋体"/>
                <w:color w:val="auto"/>
                <w:sz w:val="24"/>
                <w:szCs w:val="24"/>
                <w:highlight w:val="none"/>
                <w:lang w:val="ja-JP" w:eastAsia="zh-CN" w:bidi="ja-JP"/>
              </w:rPr>
              <w:t>,</w:t>
            </w:r>
            <w:r>
              <w:rPr>
                <w:rFonts w:ascii="仿宋" w:hAnsi="仿宋" w:eastAsia="仿宋" w:cs="宋体"/>
                <w:color w:val="auto"/>
                <w:sz w:val="24"/>
                <w:szCs w:val="24"/>
                <w:highlight w:val="none"/>
                <w:lang w:val="en-US" w:eastAsia="zh-CN" w:bidi="ja-JP"/>
              </w:rPr>
              <w:t>如</w:t>
            </w:r>
            <w:r>
              <w:rPr>
                <w:rFonts w:hint="eastAsia" w:ascii="仿宋" w:hAnsi="仿宋" w:eastAsia="仿宋" w:cs="宋体"/>
                <w:color w:val="auto"/>
                <w:sz w:val="24"/>
                <w:szCs w:val="24"/>
                <w:highlight w:val="none"/>
                <w:lang w:val="en-US" w:eastAsia="zh-CN" w:bidi="ja-JP"/>
              </w:rPr>
              <w:t>合同</w:t>
            </w:r>
            <w:r>
              <w:rPr>
                <w:rFonts w:ascii="仿宋" w:hAnsi="仿宋" w:eastAsia="仿宋" w:cs="宋体"/>
                <w:color w:val="auto"/>
                <w:sz w:val="24"/>
                <w:szCs w:val="24"/>
                <w:highlight w:val="none"/>
                <w:lang w:val="en-US" w:eastAsia="zh-CN" w:bidi="ja-JP"/>
              </w:rPr>
              <w:t>中未体现评审内容的，需提供项目发包人或项目所在地行业主管部门出具的证明材料清晰复印件（或扫描件），否则业绩不予认可</w:t>
            </w:r>
            <w:r>
              <w:rPr>
                <w:rFonts w:hint="eastAsia" w:ascii="仿宋" w:hAnsi="仿宋" w:eastAsia="仿宋" w:cs="宋体"/>
                <w:color w:val="auto"/>
                <w:sz w:val="24"/>
                <w:szCs w:val="24"/>
                <w:highlight w:val="none"/>
                <w:lang w:val="en-US" w:eastAsia="zh-CN" w:bidi="ja-JP"/>
              </w:rPr>
              <w:t>。</w:t>
            </w:r>
            <w:r>
              <w:rPr>
                <w:rFonts w:hint="eastAsia" w:ascii="仿宋" w:hAnsi="仿宋" w:eastAsia="仿宋" w:cs="宋体"/>
                <w:color w:val="auto"/>
                <w:sz w:val="24"/>
                <w:szCs w:val="24"/>
                <w:highlight w:val="none"/>
                <w:lang w:val="en-US" w:eastAsia="zh-CN" w:bidi="ja-JP"/>
              </w:rPr>
              <w:fldChar w:fldCharType="begin"/>
            </w:r>
            <w:r>
              <w:rPr>
                <w:rFonts w:hint="eastAsia" w:ascii="仿宋" w:hAnsi="仿宋" w:eastAsia="仿宋" w:cs="宋体"/>
                <w:color w:val="auto"/>
                <w:sz w:val="24"/>
                <w:szCs w:val="24"/>
                <w:highlight w:val="none"/>
                <w:lang w:val="en-US" w:eastAsia="zh-CN" w:bidi="ja-JP"/>
              </w:rPr>
              <w:instrText xml:space="preserve"> = 2 \* GB3 </w:instrText>
            </w:r>
            <w:r>
              <w:rPr>
                <w:rFonts w:hint="eastAsia" w:ascii="仿宋" w:hAnsi="仿宋" w:eastAsia="仿宋" w:cs="宋体"/>
                <w:color w:val="auto"/>
                <w:sz w:val="24"/>
                <w:szCs w:val="24"/>
                <w:highlight w:val="none"/>
                <w:lang w:val="en-US" w:eastAsia="zh-CN" w:bidi="ja-JP"/>
              </w:rPr>
              <w:fldChar w:fldCharType="separate"/>
            </w:r>
            <w:r>
              <w:rPr>
                <w:rFonts w:hint="eastAsia" w:ascii="仿宋" w:hAnsi="仿宋" w:eastAsia="仿宋" w:cs="宋体"/>
                <w:color w:val="auto"/>
                <w:sz w:val="24"/>
                <w:szCs w:val="24"/>
                <w:highlight w:val="none"/>
                <w:lang w:val="en-US" w:eastAsia="zh-CN" w:bidi="ja-JP"/>
              </w:rPr>
              <w:t>②</w:t>
            </w:r>
            <w:r>
              <w:rPr>
                <w:rFonts w:hint="eastAsia" w:ascii="仿宋" w:hAnsi="仿宋" w:eastAsia="仿宋" w:cs="宋体"/>
                <w:color w:val="auto"/>
                <w:sz w:val="24"/>
                <w:szCs w:val="24"/>
                <w:highlight w:val="none"/>
                <w:lang w:val="en-US" w:eastAsia="zh-CN" w:bidi="ja-JP"/>
              </w:rPr>
              <w:fldChar w:fldCharType="end"/>
            </w:r>
            <w:r>
              <w:rPr>
                <w:rFonts w:ascii="仿宋" w:hAnsi="仿宋" w:eastAsia="仿宋" w:cs="宋体"/>
                <w:color w:val="auto"/>
                <w:sz w:val="24"/>
                <w:szCs w:val="24"/>
                <w:highlight w:val="none"/>
                <w:lang w:val="en-US" w:eastAsia="zh-CN" w:bidi="ja-JP"/>
              </w:rPr>
              <w:t>合同的单位名称应与</w:t>
            </w:r>
            <w:r>
              <w:rPr>
                <w:rFonts w:hint="eastAsia" w:ascii="仿宋" w:hAnsi="仿宋" w:eastAsia="仿宋" w:cs="宋体"/>
                <w:color w:val="auto"/>
                <w:sz w:val="24"/>
                <w:szCs w:val="24"/>
                <w:highlight w:val="none"/>
                <w:lang w:val="en-US" w:eastAsia="zh-CN" w:bidi="ja-JP"/>
              </w:rPr>
              <w:t>响应</w:t>
            </w:r>
            <w:r>
              <w:rPr>
                <w:rFonts w:ascii="仿宋" w:hAnsi="仿宋" w:eastAsia="仿宋" w:cs="宋体"/>
                <w:color w:val="auto"/>
                <w:sz w:val="24"/>
                <w:szCs w:val="24"/>
                <w:highlight w:val="none"/>
                <w:lang w:val="en-US" w:eastAsia="zh-CN" w:bidi="ja-JP"/>
              </w:rPr>
              <w:t>人名称一致（发生合法变更或</w:t>
            </w:r>
            <w:r>
              <w:rPr>
                <w:rFonts w:hint="eastAsia" w:ascii="仿宋" w:hAnsi="仿宋" w:eastAsia="仿宋" w:cs="宋体"/>
                <w:color w:val="auto"/>
                <w:sz w:val="24"/>
                <w:szCs w:val="24"/>
                <w:highlight w:val="none"/>
                <w:lang w:val="en-US" w:eastAsia="zh-CN" w:bidi="ja-JP"/>
              </w:rPr>
              <w:t>合并</w:t>
            </w:r>
            <w:r>
              <w:rPr>
                <w:rFonts w:ascii="仿宋" w:hAnsi="仿宋" w:eastAsia="仿宋" w:cs="宋体"/>
                <w:color w:val="auto"/>
                <w:sz w:val="24"/>
                <w:szCs w:val="24"/>
                <w:highlight w:val="none"/>
                <w:lang w:val="en-US" w:eastAsia="zh-CN" w:bidi="ja-JP"/>
              </w:rPr>
              <w:t>重组或法人名称变更的除外，但需提供其他相关证明材料以证明所提供业绩的继承性），否则业绩不予认可</w:t>
            </w:r>
            <w:r>
              <w:rPr>
                <w:rFonts w:hint="eastAsia" w:ascii="仿宋" w:hAnsi="仿宋" w:eastAsia="仿宋" w:cs="宋体"/>
                <w:color w:val="auto"/>
                <w:sz w:val="24"/>
                <w:szCs w:val="24"/>
                <w:highlight w:val="none"/>
                <w:lang w:val="en-US" w:eastAsia="zh-CN" w:bidi="ja-JP"/>
              </w:rPr>
              <w:t>。</w:t>
            </w:r>
            <w:r>
              <w:rPr>
                <w:rStyle w:val="641"/>
                <w:rFonts w:hint="eastAsia" w:ascii="仿宋" w:hAnsi="仿宋" w:eastAsia="仿宋" w:cs="宋体"/>
                <w:color w:val="auto"/>
                <w:sz w:val="24"/>
                <w:szCs w:val="24"/>
                <w:highlight w:val="none"/>
                <w:lang w:val="ja-JP" w:eastAsia="ja-JP" w:bidi="ja-JP"/>
              </w:rPr>
              <w:t>】</w:t>
            </w:r>
          </w:p>
        </w:tc>
        <w:tc>
          <w:tcPr>
            <w:tcW w:w="960" w:type="dxa"/>
            <w:vAlign w:val="center"/>
          </w:tcPr>
          <w:p w14:paraId="5EC50EBE">
            <w:pPr>
              <w:pStyle w:val="640"/>
              <w:ind w:firstLine="220" w:firstLineChars="0"/>
              <w:jc w:val="left"/>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rPr>
              <w:t>1分</w:t>
            </w:r>
          </w:p>
        </w:tc>
        <w:tc>
          <w:tcPr>
            <w:tcW w:w="1199" w:type="dxa"/>
            <w:vAlign w:val="center"/>
          </w:tcPr>
          <w:p w14:paraId="309434A3">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rPr>
              <w:t>客观分</w:t>
            </w:r>
          </w:p>
        </w:tc>
      </w:tr>
      <w:tr w14:paraId="287D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853" w:type="dxa"/>
            <w:vMerge w:val="continue"/>
            <w:vAlign w:val="center"/>
          </w:tcPr>
          <w:p w14:paraId="57491DB2">
            <w:pPr>
              <w:rPr>
                <w:rFonts w:ascii="仿宋" w:hAnsi="仿宋" w:eastAsia="仿宋" w:cs="仿宋"/>
                <w:color w:val="auto"/>
                <w:sz w:val="24"/>
                <w:highlight w:val="none"/>
              </w:rPr>
            </w:pPr>
          </w:p>
        </w:tc>
        <w:tc>
          <w:tcPr>
            <w:tcW w:w="722" w:type="dxa"/>
            <w:vAlign w:val="center"/>
          </w:tcPr>
          <w:p w14:paraId="2631D106">
            <w:pPr>
              <w:pStyle w:val="640"/>
              <w:jc w:val="center"/>
              <w:rPr>
                <w:rFonts w:hint="eastAsia" w:ascii="仿宋" w:hAnsi="仿宋" w:eastAsia="仿宋" w:cs="仿宋"/>
                <w:color w:val="auto"/>
                <w:sz w:val="24"/>
                <w:highlight w:val="none"/>
                <w:lang w:eastAsia="zh-CN"/>
              </w:rPr>
            </w:pPr>
            <w:r>
              <w:rPr>
                <w:rStyle w:val="641"/>
                <w:rFonts w:hint="eastAsia" w:ascii="仿宋" w:hAnsi="仿宋" w:eastAsia="仿宋" w:cs="宋体"/>
                <w:color w:val="auto"/>
                <w:sz w:val="24"/>
                <w:szCs w:val="24"/>
                <w:highlight w:val="none"/>
              </w:rPr>
              <w:t>2</w:t>
            </w:r>
          </w:p>
        </w:tc>
        <w:tc>
          <w:tcPr>
            <w:tcW w:w="6084" w:type="dxa"/>
            <w:vAlign w:val="center"/>
          </w:tcPr>
          <w:p w14:paraId="667FB121">
            <w:pPr>
              <w:pStyle w:val="640"/>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响应人具有质量管理体系认证证书、职业安全健康管理体系认证证书、环境管理体系认证证书</w:t>
            </w:r>
            <w:r>
              <w:rPr>
                <w:rStyle w:val="641"/>
                <w:rFonts w:hint="eastAsia" w:ascii="仿宋" w:hAnsi="仿宋" w:eastAsia="仿宋" w:cs="宋体"/>
                <w:color w:val="auto"/>
                <w:sz w:val="24"/>
                <w:szCs w:val="24"/>
                <w:highlight w:val="none"/>
                <w:lang w:val="ja-JP" w:eastAsia="zh-CN" w:bidi="ja-JP"/>
              </w:rPr>
              <w:t>、信息技术服务管理体系认证证书、信息安全管理体系认证证书</w:t>
            </w:r>
            <w:r>
              <w:rPr>
                <w:rStyle w:val="641"/>
                <w:rFonts w:hint="eastAsia" w:ascii="仿宋" w:hAnsi="仿宋" w:eastAsia="仿宋" w:cs="宋体"/>
                <w:color w:val="auto"/>
                <w:sz w:val="24"/>
                <w:szCs w:val="24"/>
                <w:highlight w:val="none"/>
                <w:lang w:val="ja-JP" w:eastAsia="ja-JP" w:bidi="ja-JP"/>
              </w:rPr>
              <w:t>,每个得1分,最高得</w:t>
            </w:r>
            <w:r>
              <w:rPr>
                <w:rStyle w:val="641"/>
                <w:rFonts w:hint="eastAsia" w:ascii="仿宋" w:hAnsi="仿宋" w:eastAsia="仿宋" w:cs="宋体"/>
                <w:color w:val="auto"/>
                <w:sz w:val="24"/>
                <w:szCs w:val="24"/>
                <w:highlight w:val="none"/>
                <w:lang w:val="ja-JP" w:eastAsia="zh-CN" w:bidi="ja-JP"/>
              </w:rPr>
              <w:t>5</w:t>
            </w:r>
            <w:r>
              <w:rPr>
                <w:rStyle w:val="641"/>
                <w:rFonts w:hint="eastAsia" w:ascii="仿宋" w:hAnsi="仿宋" w:eastAsia="仿宋" w:cs="宋体"/>
                <w:color w:val="auto"/>
                <w:sz w:val="24"/>
                <w:szCs w:val="24"/>
                <w:highlight w:val="none"/>
                <w:lang w:val="ja-JP" w:eastAsia="ja-JP" w:bidi="ja-JP"/>
              </w:rPr>
              <w:t>分。【证明材料：提供有效期内认证证书及全国认证认可信息公共服务平台查询截图】</w:t>
            </w:r>
          </w:p>
        </w:tc>
        <w:tc>
          <w:tcPr>
            <w:tcW w:w="960" w:type="dxa"/>
            <w:vAlign w:val="center"/>
          </w:tcPr>
          <w:p w14:paraId="102BBC8C">
            <w:pPr>
              <w:pStyle w:val="640"/>
              <w:ind w:firstLine="220" w:firstLineChars="0"/>
              <w:jc w:val="left"/>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eastAsia="zh-CN"/>
              </w:rPr>
              <w:t>5</w:t>
            </w:r>
            <w:r>
              <w:rPr>
                <w:rStyle w:val="641"/>
                <w:rFonts w:hint="eastAsia" w:ascii="仿宋" w:hAnsi="仿宋" w:eastAsia="仿宋" w:cs="宋体"/>
                <w:color w:val="auto"/>
                <w:sz w:val="24"/>
                <w:szCs w:val="24"/>
                <w:highlight w:val="none"/>
              </w:rPr>
              <w:t>分</w:t>
            </w:r>
          </w:p>
        </w:tc>
        <w:tc>
          <w:tcPr>
            <w:tcW w:w="1199" w:type="dxa"/>
            <w:vAlign w:val="center"/>
          </w:tcPr>
          <w:p w14:paraId="33EE6584">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rPr>
              <w:t>客观分</w:t>
            </w:r>
          </w:p>
        </w:tc>
      </w:tr>
    </w:tbl>
    <w:p w14:paraId="1E7A69A4">
      <w:pPr>
        <w:widowControl/>
        <w:spacing w:line="360" w:lineRule="auto"/>
        <w:rPr>
          <w:rFonts w:ascii="仿宋" w:hAnsi="仿宋" w:eastAsia="仿宋" w:cs="仿宋"/>
          <w:color w:val="auto"/>
          <w:sz w:val="24"/>
          <w:highlight w:val="none"/>
          <w:shd w:val="clear" w:color="auto" w:fill="FFFFFF"/>
        </w:rPr>
      </w:pPr>
    </w:p>
    <w:p w14:paraId="78F71ADE">
      <w:pPr>
        <w:widowControl/>
        <w:spacing w:line="360" w:lineRule="auto"/>
        <w:rPr>
          <w:rFonts w:ascii="仿宋" w:hAnsi="仿宋" w:eastAsia="仿宋" w:cs="仿宋"/>
          <w:b/>
          <w:bCs/>
          <w:color w:val="auto"/>
          <w:sz w:val="24"/>
          <w:highlight w:val="none"/>
        </w:rPr>
      </w:pPr>
      <w:r>
        <w:rPr>
          <w:rFonts w:hint="eastAsia" w:ascii="仿宋" w:hAnsi="仿宋" w:eastAsia="仿宋" w:cs="仿宋"/>
          <w:color w:val="auto"/>
          <w:sz w:val="24"/>
          <w:highlight w:val="none"/>
        </w:rPr>
        <w:t>2.技术和服务方案（</w:t>
      </w:r>
      <w:r>
        <w:rPr>
          <w:rFonts w:hint="eastAsia" w:ascii="仿宋" w:hAnsi="仿宋" w:eastAsia="仿宋" w:cs="仿宋"/>
          <w:color w:val="auto"/>
          <w:sz w:val="24"/>
          <w:highlight w:val="none"/>
          <w:lang w:val="en-US" w:eastAsia="zh-CN"/>
        </w:rPr>
        <w:t>84</w:t>
      </w:r>
      <w:r>
        <w:rPr>
          <w:rFonts w:hint="eastAsia" w:ascii="仿宋" w:hAnsi="仿宋" w:eastAsia="仿宋" w:cs="仿宋"/>
          <w:color w:val="auto"/>
          <w:sz w:val="24"/>
          <w:highlight w:val="none"/>
        </w:rPr>
        <w:t>分）</w:t>
      </w:r>
    </w:p>
    <w:tbl>
      <w:tblPr>
        <w:tblStyle w:val="61"/>
        <w:tblW w:w="9816" w:type="dxa"/>
        <w:tblInd w:w="-260" w:type="dxa"/>
        <w:tblLayout w:type="fixed"/>
        <w:tblCellMar>
          <w:top w:w="0" w:type="dxa"/>
          <w:left w:w="108" w:type="dxa"/>
          <w:bottom w:w="0" w:type="dxa"/>
          <w:right w:w="108" w:type="dxa"/>
        </w:tblCellMar>
      </w:tblPr>
      <w:tblGrid>
        <w:gridCol w:w="828"/>
        <w:gridCol w:w="528"/>
        <w:gridCol w:w="6252"/>
        <w:gridCol w:w="1015"/>
        <w:gridCol w:w="1193"/>
      </w:tblGrid>
      <w:tr w14:paraId="03FC99B0">
        <w:tblPrEx>
          <w:tblCellMar>
            <w:top w:w="0" w:type="dxa"/>
            <w:left w:w="108" w:type="dxa"/>
            <w:bottom w:w="0" w:type="dxa"/>
            <w:right w:w="108" w:type="dxa"/>
          </w:tblCellMar>
        </w:tblPrEx>
        <w:trPr>
          <w:trHeight w:val="615" w:hRule="atLeast"/>
        </w:trPr>
        <w:tc>
          <w:tcPr>
            <w:tcW w:w="828" w:type="dxa"/>
            <w:tcBorders>
              <w:top w:val="single" w:color="auto" w:sz="8" w:space="0"/>
              <w:left w:val="single" w:color="auto" w:sz="8" w:space="0"/>
              <w:bottom w:val="single" w:color="auto" w:sz="4" w:space="0"/>
              <w:right w:val="single" w:color="auto" w:sz="4" w:space="0"/>
            </w:tcBorders>
            <w:shd w:val="clear" w:color="auto" w:fill="auto"/>
            <w:vAlign w:val="center"/>
          </w:tcPr>
          <w:p w14:paraId="069DEE76">
            <w:pPr>
              <w:widowControl/>
              <w:adjustRightInd/>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序号</w:t>
            </w:r>
          </w:p>
        </w:tc>
        <w:tc>
          <w:tcPr>
            <w:tcW w:w="6780" w:type="dxa"/>
            <w:gridSpan w:val="2"/>
            <w:tcBorders>
              <w:top w:val="single" w:color="auto" w:sz="8" w:space="0"/>
              <w:left w:val="nil"/>
              <w:bottom w:val="single" w:color="auto" w:sz="4" w:space="0"/>
              <w:right w:val="single" w:color="auto" w:sz="4" w:space="0"/>
            </w:tcBorders>
            <w:shd w:val="clear" w:color="auto" w:fill="auto"/>
            <w:vAlign w:val="center"/>
          </w:tcPr>
          <w:p w14:paraId="2216C834">
            <w:pPr>
              <w:widowControl/>
              <w:adjustRightInd/>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评分内容和标准</w:t>
            </w:r>
          </w:p>
        </w:tc>
        <w:tc>
          <w:tcPr>
            <w:tcW w:w="1015" w:type="dxa"/>
            <w:tcBorders>
              <w:top w:val="single" w:color="auto" w:sz="8" w:space="0"/>
              <w:left w:val="nil"/>
              <w:bottom w:val="single" w:color="auto" w:sz="4" w:space="0"/>
              <w:right w:val="single" w:color="auto" w:sz="8" w:space="0"/>
            </w:tcBorders>
            <w:shd w:val="clear" w:color="auto" w:fill="auto"/>
            <w:vAlign w:val="center"/>
          </w:tcPr>
          <w:p w14:paraId="6AA83395">
            <w:pPr>
              <w:widowControl/>
              <w:adjustRightInd/>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权重</w:t>
            </w:r>
          </w:p>
        </w:tc>
        <w:tc>
          <w:tcPr>
            <w:tcW w:w="1193" w:type="dxa"/>
            <w:tcBorders>
              <w:top w:val="single" w:color="auto" w:sz="8" w:space="0"/>
              <w:left w:val="nil"/>
              <w:bottom w:val="single" w:color="auto" w:sz="4" w:space="0"/>
              <w:right w:val="single" w:color="auto" w:sz="8" w:space="0"/>
            </w:tcBorders>
            <w:shd w:val="clear" w:color="auto" w:fill="auto"/>
            <w:vAlign w:val="center"/>
          </w:tcPr>
          <w:p w14:paraId="1FB34F80">
            <w:pPr>
              <w:widowControl/>
              <w:adjustRightInd/>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主客观分</w:t>
            </w:r>
          </w:p>
        </w:tc>
      </w:tr>
      <w:tr w14:paraId="501B63F0">
        <w:tblPrEx>
          <w:tblCellMar>
            <w:top w:w="0" w:type="dxa"/>
            <w:left w:w="108" w:type="dxa"/>
            <w:bottom w:w="0" w:type="dxa"/>
            <w:right w:w="108" w:type="dxa"/>
          </w:tblCellMar>
        </w:tblPrEx>
        <w:trPr>
          <w:trHeight w:val="752" w:hRule="atLeast"/>
        </w:trPr>
        <w:tc>
          <w:tcPr>
            <w:tcW w:w="828" w:type="dxa"/>
            <w:vMerge w:val="restart"/>
            <w:tcBorders>
              <w:top w:val="nil"/>
              <w:left w:val="single" w:color="auto" w:sz="4" w:space="0"/>
              <w:bottom w:val="single" w:color="000000" w:sz="8" w:space="0"/>
              <w:right w:val="single" w:color="auto" w:sz="4" w:space="0"/>
            </w:tcBorders>
            <w:shd w:val="clear" w:color="auto" w:fill="auto"/>
            <w:vAlign w:val="center"/>
          </w:tcPr>
          <w:p w14:paraId="7579F28D">
            <w:pPr>
              <w:widowControl/>
              <w:adjustRightInd/>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技术分（8</w:t>
            </w:r>
            <w:r>
              <w:rPr>
                <w:rFonts w:hint="eastAsia" w:ascii="仿宋" w:hAnsi="仿宋" w:eastAsia="仿宋" w:cs="仿宋"/>
                <w:color w:val="auto"/>
                <w:kern w:val="0"/>
                <w:sz w:val="24"/>
                <w:highlight w:val="none"/>
                <w:lang w:val="en-US" w:eastAsia="zh-CN"/>
              </w:rPr>
              <w:t>4</w:t>
            </w:r>
            <w:r>
              <w:rPr>
                <w:rFonts w:hint="eastAsia" w:ascii="仿宋" w:hAnsi="仿宋" w:eastAsia="仿宋" w:cs="仿宋"/>
                <w:color w:val="auto"/>
                <w:kern w:val="0"/>
                <w:sz w:val="24"/>
                <w:highlight w:val="none"/>
              </w:rPr>
              <w:t>分）</w:t>
            </w:r>
          </w:p>
        </w:tc>
        <w:tc>
          <w:tcPr>
            <w:tcW w:w="528" w:type="dxa"/>
            <w:tcBorders>
              <w:top w:val="nil"/>
              <w:left w:val="single" w:color="auto" w:sz="8" w:space="0"/>
              <w:bottom w:val="single" w:color="auto" w:sz="4" w:space="0"/>
              <w:right w:val="single" w:color="auto" w:sz="4" w:space="0"/>
            </w:tcBorders>
            <w:shd w:val="clear" w:color="auto" w:fill="auto"/>
            <w:vAlign w:val="center"/>
          </w:tcPr>
          <w:p w14:paraId="4A06850E">
            <w:pPr>
              <w:pStyle w:val="640"/>
              <w:jc w:val="center"/>
              <w:rPr>
                <w:rFonts w:ascii="仿宋" w:hAnsi="仿宋" w:eastAsia="仿宋" w:cs="仿宋"/>
                <w:color w:val="auto"/>
                <w:sz w:val="24"/>
                <w:highlight w:val="none"/>
              </w:rPr>
            </w:pPr>
            <w:r>
              <w:rPr>
                <w:rStyle w:val="641"/>
                <w:rFonts w:hint="eastAsia" w:ascii="宋体" w:hAnsi="宋体" w:eastAsia="宋体" w:cs="宋体"/>
                <w:color w:val="auto"/>
                <w:sz w:val="24"/>
                <w:szCs w:val="24"/>
                <w:highlight w:val="none"/>
              </w:rPr>
              <w:t>1</w:t>
            </w:r>
          </w:p>
        </w:tc>
        <w:tc>
          <w:tcPr>
            <w:tcW w:w="6252" w:type="dxa"/>
            <w:tcBorders>
              <w:top w:val="nil"/>
              <w:left w:val="nil"/>
              <w:bottom w:val="single" w:color="auto" w:sz="4" w:space="0"/>
              <w:right w:val="single" w:color="auto" w:sz="4" w:space="0"/>
            </w:tcBorders>
            <w:shd w:val="clear" w:color="auto" w:fill="auto"/>
            <w:vAlign w:val="top"/>
          </w:tcPr>
          <w:p w14:paraId="702BF6A4">
            <w:pPr>
              <w:pStyle w:val="640"/>
              <w:rPr>
                <w:rStyle w:val="641"/>
                <w:rFonts w:hint="eastAsia" w:ascii="仿宋" w:hAnsi="仿宋" w:eastAsia="仿宋" w:cs="宋体"/>
                <w:color w:val="auto"/>
                <w:sz w:val="24"/>
                <w:highlight w:val="none"/>
                <w:lang w:val="ja-JP" w:eastAsia="ja-JP" w:bidi="ja-JP"/>
              </w:rPr>
            </w:pPr>
            <w:r>
              <w:rPr>
                <w:rStyle w:val="641"/>
                <w:rFonts w:hint="eastAsia" w:ascii="仿宋" w:hAnsi="仿宋" w:eastAsia="仿宋" w:cs="宋体"/>
                <w:color w:val="auto"/>
                <w:sz w:val="24"/>
                <w:szCs w:val="24"/>
                <w:highlight w:val="none"/>
                <w:lang w:val="ja-JP" w:eastAsia="zh-CN" w:bidi="ja-JP"/>
              </w:rPr>
              <w:t>施工监控</w:t>
            </w:r>
            <w:r>
              <w:rPr>
                <w:rStyle w:val="641"/>
                <w:rFonts w:hint="eastAsia" w:ascii="仿宋" w:hAnsi="仿宋" w:eastAsia="仿宋" w:cs="宋体"/>
                <w:color w:val="auto"/>
                <w:sz w:val="24"/>
                <w:szCs w:val="24"/>
                <w:highlight w:val="none"/>
                <w:lang w:val="ja-JP" w:eastAsia="ja-JP" w:bidi="ja-JP"/>
              </w:rPr>
              <w:t>方案的合理性、科学性、全面性</w:t>
            </w:r>
          </w:p>
          <w:p w14:paraId="0E5D5DFB">
            <w:pPr>
              <w:pStyle w:val="640"/>
              <w:ind w:firstLine="200" w:firstLineChars="0"/>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(根据对交易项目理解和交易项目所在的地特点进行监测的正确性和清晰程度等情况综合评定打分)(完善的得</w:t>
            </w:r>
            <w:r>
              <w:rPr>
                <w:rStyle w:val="641"/>
                <w:rFonts w:hint="eastAsia" w:ascii="仿宋" w:hAnsi="仿宋" w:eastAsia="仿宋" w:cs="宋体"/>
                <w:color w:val="auto"/>
                <w:sz w:val="24"/>
                <w:szCs w:val="24"/>
                <w:highlight w:val="none"/>
                <w:lang w:val="ja-JP" w:eastAsia="zh-CN" w:bidi="ja-JP"/>
              </w:rPr>
              <w:t>8</w:t>
            </w:r>
            <w:r>
              <w:rPr>
                <w:rStyle w:val="641"/>
                <w:rFonts w:hint="eastAsia" w:ascii="仿宋" w:hAnsi="仿宋" w:eastAsia="仿宋" w:cs="宋体"/>
                <w:color w:val="auto"/>
                <w:sz w:val="24"/>
                <w:szCs w:val="24"/>
                <w:highlight w:val="none"/>
                <w:lang w:val="ja-JP" w:eastAsia="ja-JP" w:bidi="ja-JP"/>
              </w:rPr>
              <w:t>-1</w:t>
            </w:r>
            <w:r>
              <w:rPr>
                <w:rStyle w:val="641"/>
                <w:rFonts w:hint="eastAsia" w:ascii="仿宋" w:hAnsi="仿宋" w:eastAsia="仿宋" w:cs="宋体"/>
                <w:color w:val="auto"/>
                <w:sz w:val="24"/>
                <w:szCs w:val="24"/>
                <w:highlight w:val="none"/>
                <w:lang w:val="ja-JP" w:eastAsia="zh-CN" w:bidi="ja-JP"/>
              </w:rPr>
              <w:t>2</w:t>
            </w:r>
            <w:r>
              <w:rPr>
                <w:rStyle w:val="641"/>
                <w:rFonts w:hint="eastAsia" w:ascii="仿宋" w:hAnsi="仿宋" w:eastAsia="仿宋" w:cs="宋体"/>
                <w:color w:val="auto"/>
                <w:sz w:val="24"/>
                <w:szCs w:val="24"/>
                <w:highlight w:val="none"/>
                <w:lang w:val="ja-JP" w:eastAsia="ja-JP" w:bidi="ja-JP"/>
              </w:rPr>
              <w:t xml:space="preserve"> 分,较完善的得4-</w:t>
            </w:r>
            <w:r>
              <w:rPr>
                <w:rStyle w:val="641"/>
                <w:rFonts w:hint="eastAsia" w:ascii="仿宋" w:hAnsi="仿宋" w:eastAsia="仿宋" w:cs="宋体"/>
                <w:color w:val="auto"/>
                <w:sz w:val="24"/>
                <w:szCs w:val="24"/>
                <w:highlight w:val="none"/>
                <w:lang w:val="ja-JP" w:eastAsia="zh-CN" w:bidi="ja-JP"/>
              </w:rPr>
              <w:t>8</w:t>
            </w:r>
            <w:r>
              <w:rPr>
                <w:rStyle w:val="641"/>
                <w:rFonts w:hint="eastAsia" w:ascii="仿宋" w:hAnsi="仿宋" w:eastAsia="仿宋" w:cs="宋体"/>
                <w:color w:val="auto"/>
                <w:sz w:val="24"/>
                <w:szCs w:val="24"/>
                <w:highlight w:val="none"/>
                <w:lang w:val="ja-JP" w:eastAsia="ja-JP" w:bidi="ja-JP"/>
              </w:rPr>
              <w:t>分,不够完善的得0-4分。)</w:t>
            </w:r>
          </w:p>
        </w:tc>
        <w:tc>
          <w:tcPr>
            <w:tcW w:w="1015" w:type="dxa"/>
            <w:tcBorders>
              <w:top w:val="nil"/>
              <w:left w:val="nil"/>
              <w:bottom w:val="single" w:color="auto" w:sz="4" w:space="0"/>
              <w:right w:val="single" w:color="auto" w:sz="8" w:space="0"/>
            </w:tcBorders>
            <w:shd w:val="clear" w:color="auto" w:fill="auto"/>
            <w:vAlign w:val="center"/>
          </w:tcPr>
          <w:p w14:paraId="31C4199C">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1</w:t>
            </w:r>
            <w:r>
              <w:rPr>
                <w:rStyle w:val="641"/>
                <w:rFonts w:hint="eastAsia" w:ascii="仿宋" w:hAnsi="仿宋" w:eastAsia="仿宋" w:cs="宋体"/>
                <w:color w:val="auto"/>
                <w:sz w:val="24"/>
                <w:szCs w:val="24"/>
                <w:highlight w:val="none"/>
                <w:lang w:val="ja-JP" w:eastAsia="zh-CN" w:bidi="ja-JP"/>
              </w:rPr>
              <w:t>2</w:t>
            </w:r>
            <w:r>
              <w:rPr>
                <w:rStyle w:val="641"/>
                <w:rFonts w:hint="eastAsia" w:ascii="仿宋" w:hAnsi="仿宋" w:eastAsia="仿宋" w:cs="宋体"/>
                <w:color w:val="auto"/>
                <w:sz w:val="24"/>
                <w:szCs w:val="24"/>
                <w:highlight w:val="none"/>
                <w:lang w:val="ja-JP" w:eastAsia="ja-JP" w:bidi="ja-JP"/>
              </w:rPr>
              <w:t>分</w:t>
            </w:r>
          </w:p>
        </w:tc>
        <w:tc>
          <w:tcPr>
            <w:tcW w:w="1193" w:type="dxa"/>
            <w:tcBorders>
              <w:top w:val="nil"/>
              <w:left w:val="nil"/>
              <w:bottom w:val="single" w:color="auto" w:sz="4" w:space="0"/>
              <w:right w:val="single" w:color="auto" w:sz="8" w:space="0"/>
            </w:tcBorders>
            <w:shd w:val="clear" w:color="auto" w:fill="auto"/>
            <w:vAlign w:val="center"/>
          </w:tcPr>
          <w:p w14:paraId="66ABC5B8">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主观分</w:t>
            </w:r>
          </w:p>
        </w:tc>
      </w:tr>
      <w:tr w14:paraId="7A11B514">
        <w:tblPrEx>
          <w:tblCellMar>
            <w:top w:w="0" w:type="dxa"/>
            <w:left w:w="108" w:type="dxa"/>
            <w:bottom w:w="0" w:type="dxa"/>
            <w:right w:w="108" w:type="dxa"/>
          </w:tblCellMar>
        </w:tblPrEx>
        <w:trPr>
          <w:trHeight w:val="615" w:hRule="atLeast"/>
        </w:trPr>
        <w:tc>
          <w:tcPr>
            <w:tcW w:w="828" w:type="dxa"/>
            <w:vMerge w:val="continue"/>
            <w:tcBorders>
              <w:top w:val="nil"/>
              <w:left w:val="single" w:color="auto" w:sz="4" w:space="0"/>
              <w:bottom w:val="single" w:color="000000" w:sz="8" w:space="0"/>
              <w:right w:val="single" w:color="auto" w:sz="4" w:space="0"/>
            </w:tcBorders>
            <w:vAlign w:val="center"/>
          </w:tcPr>
          <w:p w14:paraId="4F07B6E3">
            <w:pPr>
              <w:widowControl/>
              <w:adjustRightInd/>
              <w:jc w:val="left"/>
              <w:rPr>
                <w:rFonts w:ascii="仿宋" w:hAnsi="仿宋" w:eastAsia="仿宋" w:cs="仿宋"/>
                <w:color w:val="auto"/>
                <w:kern w:val="0"/>
                <w:sz w:val="24"/>
                <w:highlight w:val="none"/>
              </w:rPr>
            </w:pPr>
          </w:p>
        </w:tc>
        <w:tc>
          <w:tcPr>
            <w:tcW w:w="528" w:type="dxa"/>
            <w:tcBorders>
              <w:top w:val="single" w:color="auto" w:sz="4" w:space="0"/>
              <w:left w:val="single" w:color="auto" w:sz="4" w:space="0"/>
              <w:bottom w:val="single" w:color="auto" w:sz="4" w:space="0"/>
              <w:right w:val="single" w:color="auto" w:sz="4" w:space="0"/>
            </w:tcBorders>
            <w:shd w:val="clear" w:color="auto" w:fill="auto"/>
            <w:vAlign w:val="center"/>
          </w:tcPr>
          <w:p w14:paraId="26DB8B72">
            <w:pPr>
              <w:pStyle w:val="640"/>
              <w:jc w:val="center"/>
              <w:rPr>
                <w:rFonts w:ascii="仿宋" w:hAnsi="仿宋" w:eastAsia="仿宋" w:cs="仿宋"/>
                <w:color w:val="auto"/>
                <w:sz w:val="24"/>
                <w:highlight w:val="none"/>
              </w:rPr>
            </w:pPr>
            <w:r>
              <w:rPr>
                <w:rStyle w:val="641"/>
                <w:rFonts w:hint="eastAsia" w:ascii="宋体" w:hAnsi="宋体" w:eastAsia="宋体" w:cs="宋体"/>
                <w:color w:val="auto"/>
                <w:sz w:val="24"/>
                <w:szCs w:val="24"/>
                <w:highlight w:val="none"/>
              </w:rPr>
              <w:t>2</w:t>
            </w:r>
          </w:p>
        </w:tc>
        <w:tc>
          <w:tcPr>
            <w:tcW w:w="6252" w:type="dxa"/>
            <w:tcBorders>
              <w:top w:val="single" w:color="auto" w:sz="4" w:space="0"/>
              <w:left w:val="nil"/>
              <w:bottom w:val="single" w:color="auto" w:sz="4" w:space="0"/>
              <w:right w:val="single" w:color="auto" w:sz="4" w:space="0"/>
            </w:tcBorders>
            <w:shd w:val="clear" w:color="auto" w:fill="auto"/>
            <w:vAlign w:val="top"/>
          </w:tcPr>
          <w:p w14:paraId="4BA6DBBE">
            <w:pPr>
              <w:pStyle w:val="640"/>
              <w:rPr>
                <w:rStyle w:val="641"/>
                <w:rFonts w:hint="eastAsia" w:ascii="仿宋" w:hAnsi="仿宋" w:eastAsia="仿宋" w:cs="宋体"/>
                <w:color w:val="auto"/>
                <w:sz w:val="24"/>
                <w:highlight w:val="none"/>
                <w:lang w:val="ja-JP" w:eastAsia="ja-JP" w:bidi="ja-JP"/>
              </w:rPr>
            </w:pPr>
            <w:r>
              <w:rPr>
                <w:rStyle w:val="641"/>
                <w:rFonts w:hint="eastAsia" w:ascii="仿宋" w:hAnsi="仿宋" w:eastAsia="仿宋" w:cs="宋体"/>
                <w:color w:val="auto"/>
                <w:sz w:val="24"/>
                <w:szCs w:val="24"/>
                <w:highlight w:val="none"/>
                <w:lang w:val="ja-JP" w:eastAsia="zh-CN" w:bidi="ja-JP"/>
              </w:rPr>
              <w:t>成桥荷载试验</w:t>
            </w:r>
            <w:r>
              <w:rPr>
                <w:rStyle w:val="641"/>
                <w:rFonts w:hint="eastAsia" w:ascii="仿宋" w:hAnsi="仿宋" w:eastAsia="仿宋" w:cs="宋体"/>
                <w:color w:val="auto"/>
                <w:sz w:val="24"/>
                <w:szCs w:val="24"/>
                <w:highlight w:val="none"/>
                <w:lang w:val="ja-JP" w:eastAsia="ja-JP" w:bidi="ja-JP"/>
              </w:rPr>
              <w:t>方案的合理性、科学性、全面性</w:t>
            </w:r>
          </w:p>
          <w:p w14:paraId="608216BF">
            <w:pPr>
              <w:pStyle w:val="640"/>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(根据对交易项目理解和交易项目所在的地特点进行</w:t>
            </w:r>
            <w:r>
              <w:rPr>
                <w:rStyle w:val="641"/>
                <w:rFonts w:hint="eastAsia" w:ascii="仿宋" w:hAnsi="仿宋" w:eastAsia="仿宋" w:cs="宋体"/>
                <w:color w:val="auto"/>
                <w:sz w:val="24"/>
                <w:szCs w:val="24"/>
                <w:highlight w:val="none"/>
                <w:lang w:val="ja-JP" w:eastAsia="zh-CN" w:bidi="ja-JP"/>
              </w:rPr>
              <w:t>试验</w:t>
            </w:r>
            <w:r>
              <w:rPr>
                <w:rStyle w:val="641"/>
                <w:rFonts w:hint="eastAsia" w:ascii="仿宋" w:hAnsi="仿宋" w:eastAsia="仿宋" w:cs="宋体"/>
                <w:color w:val="auto"/>
                <w:sz w:val="24"/>
                <w:szCs w:val="24"/>
                <w:highlight w:val="none"/>
                <w:lang w:val="ja-JP" w:eastAsia="ja-JP" w:bidi="ja-JP"/>
              </w:rPr>
              <w:t>的正确性和清晰程度等情况综合评定打分) (完善的得</w:t>
            </w:r>
            <w:r>
              <w:rPr>
                <w:rStyle w:val="641"/>
                <w:rFonts w:hint="eastAsia" w:ascii="仿宋" w:hAnsi="仿宋" w:eastAsia="仿宋" w:cs="宋体"/>
                <w:color w:val="auto"/>
                <w:sz w:val="24"/>
                <w:szCs w:val="24"/>
                <w:highlight w:val="none"/>
                <w:lang w:val="ja-JP" w:eastAsia="zh-CN" w:bidi="ja-JP"/>
              </w:rPr>
              <w:t>7</w:t>
            </w:r>
            <w:r>
              <w:rPr>
                <w:rStyle w:val="641"/>
                <w:rFonts w:hint="eastAsia" w:ascii="仿宋" w:hAnsi="仿宋" w:eastAsia="仿宋" w:cs="宋体"/>
                <w:color w:val="auto"/>
                <w:sz w:val="24"/>
                <w:szCs w:val="24"/>
                <w:highlight w:val="none"/>
                <w:lang w:val="ja-JP" w:eastAsia="ja-JP" w:bidi="ja-JP"/>
              </w:rPr>
              <w:t>-</w:t>
            </w:r>
            <w:r>
              <w:rPr>
                <w:rStyle w:val="641"/>
                <w:rFonts w:hint="eastAsia" w:ascii="仿宋" w:hAnsi="仿宋" w:eastAsia="仿宋" w:cs="宋体"/>
                <w:color w:val="auto"/>
                <w:sz w:val="24"/>
                <w:szCs w:val="24"/>
                <w:highlight w:val="none"/>
                <w:lang w:val="ja-JP" w:eastAsia="zh-CN" w:bidi="ja-JP"/>
              </w:rPr>
              <w:t>10</w:t>
            </w:r>
            <w:r>
              <w:rPr>
                <w:rStyle w:val="641"/>
                <w:rFonts w:hint="eastAsia" w:ascii="仿宋" w:hAnsi="仿宋" w:eastAsia="仿宋" w:cs="宋体"/>
                <w:color w:val="auto"/>
                <w:sz w:val="24"/>
                <w:szCs w:val="24"/>
                <w:highlight w:val="none"/>
                <w:lang w:val="ja-JP" w:eastAsia="ja-JP" w:bidi="ja-JP"/>
              </w:rPr>
              <w:t>分,较完善的得</w:t>
            </w:r>
            <w:r>
              <w:rPr>
                <w:rStyle w:val="641"/>
                <w:rFonts w:hint="eastAsia" w:ascii="仿宋" w:hAnsi="仿宋" w:eastAsia="仿宋" w:cs="宋体"/>
                <w:color w:val="auto"/>
                <w:sz w:val="24"/>
                <w:szCs w:val="24"/>
                <w:highlight w:val="none"/>
                <w:lang w:val="ja-JP" w:eastAsia="zh-CN" w:bidi="ja-JP"/>
              </w:rPr>
              <w:t>4</w:t>
            </w:r>
            <w:r>
              <w:rPr>
                <w:rStyle w:val="641"/>
                <w:rFonts w:hint="eastAsia" w:ascii="仿宋" w:hAnsi="仿宋" w:eastAsia="仿宋" w:cs="宋体"/>
                <w:color w:val="auto"/>
                <w:sz w:val="24"/>
                <w:szCs w:val="24"/>
                <w:highlight w:val="none"/>
                <w:lang w:val="ja-JP" w:eastAsia="ja-JP" w:bidi="ja-JP"/>
              </w:rPr>
              <w:t>-</w:t>
            </w:r>
            <w:r>
              <w:rPr>
                <w:rStyle w:val="641"/>
                <w:rFonts w:hint="eastAsia" w:ascii="仿宋" w:hAnsi="仿宋" w:eastAsia="仿宋" w:cs="宋体"/>
                <w:color w:val="auto"/>
                <w:sz w:val="24"/>
                <w:szCs w:val="24"/>
                <w:highlight w:val="none"/>
                <w:lang w:val="ja-JP" w:eastAsia="zh-CN" w:bidi="ja-JP"/>
              </w:rPr>
              <w:t>7</w:t>
            </w:r>
            <w:r>
              <w:rPr>
                <w:rStyle w:val="641"/>
                <w:rFonts w:hint="eastAsia" w:ascii="仿宋" w:hAnsi="仿宋" w:eastAsia="仿宋" w:cs="宋体"/>
                <w:color w:val="auto"/>
                <w:sz w:val="24"/>
                <w:szCs w:val="24"/>
                <w:highlight w:val="none"/>
                <w:lang w:val="ja-JP" w:eastAsia="ja-JP" w:bidi="ja-JP"/>
              </w:rPr>
              <w:t>分,不够完善的得0-</w:t>
            </w:r>
            <w:r>
              <w:rPr>
                <w:rStyle w:val="641"/>
                <w:rFonts w:hint="eastAsia" w:ascii="仿宋" w:hAnsi="仿宋" w:eastAsia="仿宋" w:cs="宋体"/>
                <w:color w:val="auto"/>
                <w:sz w:val="24"/>
                <w:szCs w:val="24"/>
                <w:highlight w:val="none"/>
                <w:lang w:val="ja-JP" w:eastAsia="zh-CN" w:bidi="ja-JP"/>
              </w:rPr>
              <w:t>4</w:t>
            </w:r>
            <w:r>
              <w:rPr>
                <w:rStyle w:val="641"/>
                <w:rFonts w:hint="eastAsia" w:ascii="仿宋" w:hAnsi="仿宋" w:eastAsia="仿宋" w:cs="宋体"/>
                <w:color w:val="auto"/>
                <w:sz w:val="24"/>
                <w:szCs w:val="24"/>
                <w:highlight w:val="none"/>
                <w:lang w:val="ja-JP" w:eastAsia="ja-JP" w:bidi="ja-JP"/>
              </w:rPr>
              <w:t>分。)</w:t>
            </w:r>
          </w:p>
        </w:tc>
        <w:tc>
          <w:tcPr>
            <w:tcW w:w="1015" w:type="dxa"/>
            <w:tcBorders>
              <w:top w:val="single" w:color="auto" w:sz="4" w:space="0"/>
              <w:left w:val="nil"/>
              <w:bottom w:val="single" w:color="auto" w:sz="4" w:space="0"/>
              <w:right w:val="single" w:color="auto" w:sz="4" w:space="0"/>
            </w:tcBorders>
            <w:shd w:val="clear" w:color="auto" w:fill="auto"/>
            <w:vAlign w:val="center"/>
          </w:tcPr>
          <w:p w14:paraId="5B21C2EA">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zh-CN" w:bidi="ja-JP"/>
              </w:rPr>
              <w:t>10</w:t>
            </w:r>
            <w:r>
              <w:rPr>
                <w:rStyle w:val="641"/>
                <w:rFonts w:hint="eastAsia" w:ascii="仿宋" w:hAnsi="仿宋" w:eastAsia="仿宋" w:cs="宋体"/>
                <w:color w:val="auto"/>
                <w:sz w:val="24"/>
                <w:szCs w:val="24"/>
                <w:highlight w:val="none"/>
                <w:lang w:val="ja-JP" w:eastAsia="ja-JP" w:bidi="ja-JP"/>
              </w:rPr>
              <w:t>分</w:t>
            </w:r>
          </w:p>
        </w:tc>
        <w:tc>
          <w:tcPr>
            <w:tcW w:w="1193" w:type="dxa"/>
            <w:tcBorders>
              <w:top w:val="single" w:color="auto" w:sz="4" w:space="0"/>
              <w:left w:val="nil"/>
              <w:bottom w:val="single" w:color="auto" w:sz="4" w:space="0"/>
              <w:right w:val="single" w:color="auto" w:sz="4" w:space="0"/>
            </w:tcBorders>
            <w:shd w:val="clear" w:color="auto" w:fill="auto"/>
            <w:vAlign w:val="center"/>
          </w:tcPr>
          <w:p w14:paraId="5553D912">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主观分</w:t>
            </w:r>
          </w:p>
        </w:tc>
      </w:tr>
      <w:tr w14:paraId="1182D07A">
        <w:tblPrEx>
          <w:tblCellMar>
            <w:top w:w="0" w:type="dxa"/>
            <w:left w:w="108" w:type="dxa"/>
            <w:bottom w:w="0" w:type="dxa"/>
            <w:right w:w="108" w:type="dxa"/>
          </w:tblCellMar>
        </w:tblPrEx>
        <w:trPr>
          <w:trHeight w:val="822" w:hRule="atLeast"/>
        </w:trPr>
        <w:tc>
          <w:tcPr>
            <w:tcW w:w="828" w:type="dxa"/>
            <w:vMerge w:val="continue"/>
            <w:tcBorders>
              <w:top w:val="nil"/>
              <w:left w:val="single" w:color="auto" w:sz="4" w:space="0"/>
              <w:bottom w:val="single" w:color="000000" w:sz="8" w:space="0"/>
              <w:right w:val="single" w:color="auto" w:sz="4" w:space="0"/>
            </w:tcBorders>
            <w:vAlign w:val="center"/>
          </w:tcPr>
          <w:p w14:paraId="254BF395">
            <w:pPr>
              <w:widowControl/>
              <w:adjustRightInd/>
              <w:jc w:val="left"/>
              <w:rPr>
                <w:rFonts w:ascii="仿宋" w:hAnsi="仿宋" w:eastAsia="仿宋" w:cs="仿宋"/>
                <w:color w:val="auto"/>
                <w:kern w:val="0"/>
                <w:sz w:val="24"/>
                <w:highlight w:val="none"/>
              </w:rPr>
            </w:pPr>
          </w:p>
        </w:tc>
        <w:tc>
          <w:tcPr>
            <w:tcW w:w="528" w:type="dxa"/>
            <w:tcBorders>
              <w:top w:val="nil"/>
              <w:left w:val="single" w:color="auto" w:sz="8" w:space="0"/>
              <w:bottom w:val="single" w:color="auto" w:sz="4" w:space="0"/>
              <w:right w:val="single" w:color="auto" w:sz="4" w:space="0"/>
            </w:tcBorders>
            <w:shd w:val="clear" w:color="auto" w:fill="auto"/>
            <w:vAlign w:val="center"/>
          </w:tcPr>
          <w:p w14:paraId="1734D0AA">
            <w:pPr>
              <w:pStyle w:val="640"/>
              <w:jc w:val="center"/>
              <w:rPr>
                <w:rFonts w:ascii="仿宋" w:hAnsi="仿宋" w:eastAsia="仿宋" w:cs="仿宋"/>
                <w:color w:val="auto"/>
                <w:sz w:val="24"/>
                <w:highlight w:val="none"/>
              </w:rPr>
            </w:pPr>
            <w:r>
              <w:rPr>
                <w:rStyle w:val="641"/>
                <w:rFonts w:hint="eastAsia" w:ascii="宋体" w:hAnsi="宋体" w:eastAsia="宋体" w:cs="宋体"/>
                <w:color w:val="auto"/>
                <w:sz w:val="24"/>
                <w:szCs w:val="24"/>
                <w:highlight w:val="none"/>
              </w:rPr>
              <w:t>3</w:t>
            </w:r>
          </w:p>
        </w:tc>
        <w:tc>
          <w:tcPr>
            <w:tcW w:w="6252" w:type="dxa"/>
            <w:tcBorders>
              <w:top w:val="nil"/>
              <w:left w:val="nil"/>
              <w:bottom w:val="single" w:color="auto" w:sz="4" w:space="0"/>
              <w:right w:val="single" w:color="auto" w:sz="4" w:space="0"/>
            </w:tcBorders>
            <w:shd w:val="clear" w:color="auto" w:fill="auto"/>
            <w:vAlign w:val="top"/>
          </w:tcPr>
          <w:p w14:paraId="2703F939">
            <w:pPr>
              <w:pStyle w:val="640"/>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方案中拟投入本项目相关设备和工具配备情况(综合评定打分) (完善的得6-</w:t>
            </w:r>
            <w:r>
              <w:rPr>
                <w:rStyle w:val="641"/>
                <w:rFonts w:hint="eastAsia" w:ascii="仿宋" w:hAnsi="仿宋" w:eastAsia="仿宋" w:cs="宋体"/>
                <w:color w:val="auto"/>
                <w:sz w:val="24"/>
                <w:szCs w:val="24"/>
                <w:highlight w:val="none"/>
                <w:lang w:val="en-US" w:eastAsia="zh-CN" w:bidi="ja-JP"/>
              </w:rPr>
              <w:t>9</w:t>
            </w:r>
            <w:r>
              <w:rPr>
                <w:rStyle w:val="641"/>
                <w:rFonts w:hint="eastAsia" w:ascii="仿宋" w:hAnsi="仿宋" w:eastAsia="仿宋" w:cs="宋体"/>
                <w:color w:val="auto"/>
                <w:sz w:val="24"/>
                <w:szCs w:val="24"/>
                <w:highlight w:val="none"/>
                <w:lang w:val="ja-JP" w:eastAsia="ja-JP" w:bidi="ja-JP"/>
              </w:rPr>
              <w:t>分,较完善的得3-6分,不够完善的得0-3分。)</w:t>
            </w:r>
          </w:p>
        </w:tc>
        <w:tc>
          <w:tcPr>
            <w:tcW w:w="1015" w:type="dxa"/>
            <w:tcBorders>
              <w:top w:val="nil"/>
              <w:left w:val="nil"/>
              <w:bottom w:val="single" w:color="auto" w:sz="4" w:space="0"/>
              <w:right w:val="single" w:color="auto" w:sz="8" w:space="0"/>
            </w:tcBorders>
            <w:shd w:val="clear" w:color="auto" w:fill="auto"/>
            <w:vAlign w:val="center"/>
          </w:tcPr>
          <w:p w14:paraId="1107C832">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en-US" w:eastAsia="zh-CN" w:bidi="ja-JP"/>
              </w:rPr>
              <w:t>9</w:t>
            </w:r>
            <w:r>
              <w:rPr>
                <w:rStyle w:val="641"/>
                <w:rFonts w:hint="eastAsia" w:ascii="仿宋" w:hAnsi="仿宋" w:eastAsia="仿宋" w:cs="宋体"/>
                <w:color w:val="auto"/>
                <w:sz w:val="24"/>
                <w:szCs w:val="24"/>
                <w:highlight w:val="none"/>
                <w:lang w:val="ja-JP" w:eastAsia="ja-JP" w:bidi="ja-JP"/>
              </w:rPr>
              <w:t>分</w:t>
            </w:r>
          </w:p>
        </w:tc>
        <w:tc>
          <w:tcPr>
            <w:tcW w:w="1193" w:type="dxa"/>
            <w:tcBorders>
              <w:top w:val="nil"/>
              <w:left w:val="nil"/>
              <w:bottom w:val="single" w:color="auto" w:sz="4" w:space="0"/>
              <w:right w:val="single" w:color="auto" w:sz="8" w:space="0"/>
            </w:tcBorders>
            <w:shd w:val="clear" w:color="auto" w:fill="auto"/>
            <w:vAlign w:val="center"/>
          </w:tcPr>
          <w:p w14:paraId="6B9A1BFF">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主观分</w:t>
            </w:r>
          </w:p>
        </w:tc>
      </w:tr>
      <w:tr w14:paraId="41C4322C">
        <w:tblPrEx>
          <w:tblCellMar>
            <w:top w:w="0" w:type="dxa"/>
            <w:left w:w="108" w:type="dxa"/>
            <w:bottom w:w="0" w:type="dxa"/>
            <w:right w:w="108" w:type="dxa"/>
          </w:tblCellMar>
        </w:tblPrEx>
        <w:trPr>
          <w:trHeight w:val="800" w:hRule="atLeast"/>
        </w:trPr>
        <w:tc>
          <w:tcPr>
            <w:tcW w:w="828" w:type="dxa"/>
            <w:vMerge w:val="continue"/>
            <w:tcBorders>
              <w:top w:val="nil"/>
              <w:left w:val="single" w:color="auto" w:sz="4" w:space="0"/>
              <w:bottom w:val="single" w:color="000000" w:sz="8" w:space="0"/>
              <w:right w:val="single" w:color="auto" w:sz="4" w:space="0"/>
            </w:tcBorders>
            <w:vAlign w:val="center"/>
          </w:tcPr>
          <w:p w14:paraId="6FA30368">
            <w:pPr>
              <w:widowControl/>
              <w:adjustRightInd/>
              <w:jc w:val="left"/>
              <w:rPr>
                <w:rFonts w:ascii="仿宋" w:hAnsi="仿宋" w:eastAsia="仿宋" w:cs="仿宋"/>
                <w:color w:val="auto"/>
                <w:kern w:val="0"/>
                <w:sz w:val="24"/>
                <w:highlight w:val="none"/>
              </w:rPr>
            </w:pPr>
          </w:p>
        </w:tc>
        <w:tc>
          <w:tcPr>
            <w:tcW w:w="528" w:type="dxa"/>
            <w:tcBorders>
              <w:top w:val="nil"/>
              <w:left w:val="single" w:color="auto" w:sz="8" w:space="0"/>
              <w:bottom w:val="single" w:color="auto" w:sz="4" w:space="0"/>
              <w:right w:val="single" w:color="auto" w:sz="4" w:space="0"/>
            </w:tcBorders>
            <w:shd w:val="clear" w:color="auto" w:fill="auto"/>
            <w:vAlign w:val="center"/>
          </w:tcPr>
          <w:p w14:paraId="23BC2428">
            <w:pPr>
              <w:pStyle w:val="640"/>
              <w:jc w:val="center"/>
              <w:rPr>
                <w:rFonts w:ascii="仿宋" w:hAnsi="仿宋" w:eastAsia="仿宋" w:cs="仿宋"/>
                <w:color w:val="auto"/>
                <w:kern w:val="0"/>
                <w:sz w:val="24"/>
                <w:highlight w:val="none"/>
              </w:rPr>
            </w:pPr>
            <w:r>
              <w:rPr>
                <w:rStyle w:val="641"/>
                <w:rFonts w:hint="eastAsia" w:ascii="宋体" w:hAnsi="宋体" w:eastAsia="宋体" w:cs="宋体"/>
                <w:color w:val="auto"/>
                <w:sz w:val="24"/>
                <w:szCs w:val="24"/>
                <w:highlight w:val="none"/>
              </w:rPr>
              <w:t>4</w:t>
            </w:r>
          </w:p>
        </w:tc>
        <w:tc>
          <w:tcPr>
            <w:tcW w:w="6252" w:type="dxa"/>
            <w:tcBorders>
              <w:top w:val="nil"/>
              <w:left w:val="nil"/>
              <w:bottom w:val="single" w:color="auto" w:sz="4" w:space="0"/>
              <w:right w:val="single" w:color="auto" w:sz="4" w:space="0"/>
            </w:tcBorders>
            <w:shd w:val="clear" w:color="auto" w:fill="auto"/>
            <w:vAlign w:val="center"/>
          </w:tcPr>
          <w:p w14:paraId="1A5B2B77">
            <w:pPr>
              <w:pStyle w:val="640"/>
              <w:rPr>
                <w:rFonts w:ascii="仿宋" w:hAnsi="仿宋" w:eastAsia="仿宋" w:cs="仿宋"/>
                <w:color w:val="auto"/>
                <w:kern w:val="0"/>
                <w:sz w:val="24"/>
                <w:highlight w:val="none"/>
              </w:rPr>
            </w:pPr>
            <w:r>
              <w:rPr>
                <w:rStyle w:val="641"/>
                <w:rFonts w:hint="eastAsia" w:ascii="仿宋" w:hAnsi="仿宋" w:eastAsia="仿宋" w:cs="宋体"/>
                <w:color w:val="auto"/>
                <w:sz w:val="24"/>
                <w:szCs w:val="24"/>
                <w:highlight w:val="none"/>
                <w:lang w:val="ja-JP" w:eastAsia="ja-JP" w:bidi="ja-JP"/>
              </w:rPr>
              <w:t>保证进度和项目完成的方案和措施等综合评定打分 (完善的得6-</w:t>
            </w:r>
            <w:r>
              <w:rPr>
                <w:rStyle w:val="641"/>
                <w:rFonts w:hint="eastAsia" w:ascii="仿宋" w:hAnsi="仿宋" w:eastAsia="仿宋" w:cs="宋体"/>
                <w:color w:val="auto"/>
                <w:sz w:val="24"/>
                <w:szCs w:val="24"/>
                <w:highlight w:val="none"/>
                <w:lang w:val="en-US" w:eastAsia="zh-CN" w:bidi="ja-JP"/>
              </w:rPr>
              <w:t>9</w:t>
            </w:r>
            <w:r>
              <w:rPr>
                <w:rStyle w:val="641"/>
                <w:rFonts w:hint="eastAsia" w:ascii="仿宋" w:hAnsi="仿宋" w:eastAsia="仿宋" w:cs="宋体"/>
                <w:color w:val="auto"/>
                <w:sz w:val="24"/>
                <w:szCs w:val="24"/>
                <w:highlight w:val="none"/>
                <w:lang w:val="ja-JP" w:eastAsia="ja-JP" w:bidi="ja-JP"/>
              </w:rPr>
              <w:t>分,较完善的得3-6分,不够完善的得0-3分。)</w:t>
            </w:r>
          </w:p>
        </w:tc>
        <w:tc>
          <w:tcPr>
            <w:tcW w:w="1015" w:type="dxa"/>
            <w:tcBorders>
              <w:top w:val="nil"/>
              <w:left w:val="nil"/>
              <w:bottom w:val="single" w:color="auto" w:sz="4" w:space="0"/>
              <w:right w:val="single" w:color="auto" w:sz="8" w:space="0"/>
            </w:tcBorders>
            <w:shd w:val="clear" w:color="auto" w:fill="auto"/>
            <w:vAlign w:val="center"/>
          </w:tcPr>
          <w:p w14:paraId="23042A25">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en-US" w:eastAsia="zh-CN" w:bidi="ja-JP"/>
              </w:rPr>
              <w:t>9</w:t>
            </w:r>
            <w:r>
              <w:rPr>
                <w:rStyle w:val="641"/>
                <w:rFonts w:hint="eastAsia" w:ascii="仿宋" w:hAnsi="仿宋" w:eastAsia="仿宋" w:cs="宋体"/>
                <w:color w:val="auto"/>
                <w:sz w:val="24"/>
                <w:szCs w:val="24"/>
                <w:highlight w:val="none"/>
                <w:lang w:val="ja-JP" w:eastAsia="ja-JP" w:bidi="ja-JP"/>
              </w:rPr>
              <w:t>分</w:t>
            </w:r>
          </w:p>
        </w:tc>
        <w:tc>
          <w:tcPr>
            <w:tcW w:w="1193" w:type="dxa"/>
            <w:tcBorders>
              <w:top w:val="nil"/>
              <w:left w:val="nil"/>
              <w:bottom w:val="single" w:color="auto" w:sz="4" w:space="0"/>
              <w:right w:val="single" w:color="auto" w:sz="8" w:space="0"/>
            </w:tcBorders>
            <w:shd w:val="clear" w:color="auto" w:fill="auto"/>
            <w:vAlign w:val="center"/>
          </w:tcPr>
          <w:p w14:paraId="5C3F111B">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主观分</w:t>
            </w:r>
          </w:p>
        </w:tc>
      </w:tr>
      <w:tr w14:paraId="48A658C3">
        <w:tblPrEx>
          <w:tblCellMar>
            <w:top w:w="0" w:type="dxa"/>
            <w:left w:w="108" w:type="dxa"/>
            <w:bottom w:w="0" w:type="dxa"/>
            <w:right w:w="108" w:type="dxa"/>
          </w:tblCellMar>
        </w:tblPrEx>
        <w:trPr>
          <w:trHeight w:val="615" w:hRule="atLeast"/>
        </w:trPr>
        <w:tc>
          <w:tcPr>
            <w:tcW w:w="828" w:type="dxa"/>
            <w:vMerge w:val="continue"/>
            <w:tcBorders>
              <w:top w:val="nil"/>
              <w:left w:val="single" w:color="auto" w:sz="4" w:space="0"/>
              <w:bottom w:val="single" w:color="000000" w:sz="8" w:space="0"/>
              <w:right w:val="single" w:color="auto" w:sz="4" w:space="0"/>
            </w:tcBorders>
            <w:vAlign w:val="center"/>
          </w:tcPr>
          <w:p w14:paraId="2D6CBB44">
            <w:pPr>
              <w:widowControl/>
              <w:adjustRightInd/>
              <w:jc w:val="left"/>
              <w:rPr>
                <w:rFonts w:ascii="仿宋" w:hAnsi="仿宋" w:eastAsia="仿宋" w:cs="仿宋"/>
                <w:color w:val="auto"/>
                <w:kern w:val="0"/>
                <w:sz w:val="24"/>
                <w:highlight w:val="none"/>
              </w:rPr>
            </w:pPr>
          </w:p>
        </w:tc>
        <w:tc>
          <w:tcPr>
            <w:tcW w:w="528" w:type="dxa"/>
            <w:tcBorders>
              <w:top w:val="nil"/>
              <w:left w:val="single" w:color="auto" w:sz="8" w:space="0"/>
              <w:bottom w:val="single" w:color="auto" w:sz="4" w:space="0"/>
              <w:right w:val="single" w:color="auto" w:sz="4" w:space="0"/>
            </w:tcBorders>
            <w:shd w:val="clear" w:color="auto" w:fill="auto"/>
            <w:vAlign w:val="center"/>
          </w:tcPr>
          <w:p w14:paraId="25187231">
            <w:pPr>
              <w:pStyle w:val="640"/>
              <w:jc w:val="center"/>
              <w:rPr>
                <w:rFonts w:ascii="仿宋" w:hAnsi="仿宋" w:eastAsia="仿宋" w:cs="仿宋"/>
                <w:color w:val="auto"/>
                <w:sz w:val="24"/>
                <w:highlight w:val="none"/>
              </w:rPr>
            </w:pPr>
            <w:r>
              <w:rPr>
                <w:rStyle w:val="641"/>
                <w:rFonts w:hint="eastAsia" w:ascii="宋体" w:hAnsi="宋体" w:eastAsia="宋体" w:cs="宋体"/>
                <w:color w:val="auto"/>
                <w:sz w:val="24"/>
                <w:szCs w:val="24"/>
                <w:highlight w:val="none"/>
              </w:rPr>
              <w:t>5</w:t>
            </w:r>
          </w:p>
        </w:tc>
        <w:tc>
          <w:tcPr>
            <w:tcW w:w="6252" w:type="dxa"/>
            <w:tcBorders>
              <w:top w:val="nil"/>
              <w:left w:val="nil"/>
              <w:bottom w:val="single" w:color="auto" w:sz="4" w:space="0"/>
              <w:right w:val="single" w:color="auto" w:sz="4" w:space="0"/>
            </w:tcBorders>
            <w:shd w:val="clear" w:color="auto" w:fill="auto"/>
            <w:vAlign w:val="bottom"/>
          </w:tcPr>
          <w:p w14:paraId="0F1A592E">
            <w:pPr>
              <w:pStyle w:val="640"/>
              <w:rPr>
                <w:rStyle w:val="641"/>
                <w:rFonts w:hint="eastAsia" w:ascii="仿宋" w:hAnsi="仿宋" w:eastAsia="仿宋" w:cs="宋体"/>
                <w:color w:val="auto"/>
                <w:sz w:val="24"/>
                <w:highlight w:val="none"/>
                <w:lang w:val="ja-JP" w:eastAsia="ja-JP" w:bidi="ja-JP"/>
              </w:rPr>
            </w:pPr>
            <w:r>
              <w:rPr>
                <w:rStyle w:val="641"/>
                <w:rFonts w:hint="eastAsia" w:ascii="仿宋" w:hAnsi="仿宋" w:eastAsia="仿宋" w:cs="宋体"/>
                <w:color w:val="auto"/>
                <w:sz w:val="24"/>
                <w:szCs w:val="24"/>
                <w:highlight w:val="none"/>
                <w:lang w:val="ja-JP" w:eastAsia="ja-JP" w:bidi="ja-JP"/>
              </w:rPr>
              <w:t>检测技术人员：</w:t>
            </w:r>
          </w:p>
          <w:p w14:paraId="1FC88CEE">
            <w:pPr>
              <w:pStyle w:val="640"/>
              <w:ind w:firstLine="200"/>
              <w:rPr>
                <w:rStyle w:val="641"/>
                <w:rFonts w:hint="eastAsia" w:ascii="仿宋" w:hAnsi="仿宋" w:eastAsia="仿宋" w:cs="宋体"/>
                <w:color w:val="auto"/>
                <w:sz w:val="24"/>
                <w:highlight w:val="none"/>
                <w:lang w:val="ja-JP" w:eastAsia="zh-CN" w:bidi="ja-JP"/>
              </w:rPr>
            </w:pPr>
            <w:r>
              <w:rPr>
                <w:rStyle w:val="641"/>
                <w:rFonts w:hint="eastAsia" w:ascii="仿宋" w:hAnsi="仿宋" w:eastAsia="仿宋" w:cs="宋体"/>
                <w:color w:val="auto"/>
                <w:sz w:val="24"/>
                <w:szCs w:val="24"/>
                <w:highlight w:val="none"/>
                <w:lang w:val="ja-JP" w:eastAsia="ja-JP" w:bidi="ja-JP"/>
              </w:rPr>
              <w:t>(1)项目负责人具有“桥梁专业的高级及以上职称”得</w:t>
            </w:r>
            <w:r>
              <w:rPr>
                <w:rStyle w:val="641"/>
                <w:rFonts w:hint="eastAsia" w:ascii="仿宋" w:hAnsi="仿宋" w:eastAsia="仿宋" w:cs="宋体"/>
                <w:color w:val="auto"/>
                <w:sz w:val="24"/>
                <w:szCs w:val="24"/>
                <w:highlight w:val="none"/>
                <w:lang w:val="ja-JP" w:eastAsia="zh-CN" w:bidi="ja-JP"/>
              </w:rPr>
              <w:t>2</w:t>
            </w:r>
            <w:r>
              <w:rPr>
                <w:rStyle w:val="641"/>
                <w:rFonts w:hint="eastAsia" w:ascii="仿宋" w:hAnsi="仿宋" w:eastAsia="仿宋" w:cs="宋体"/>
                <w:color w:val="auto"/>
                <w:sz w:val="24"/>
                <w:szCs w:val="24"/>
                <w:highlight w:val="none"/>
                <w:lang w:val="ja-JP" w:eastAsia="ja-JP" w:bidi="ja-JP"/>
              </w:rPr>
              <w:t xml:space="preserve"> 分,具有“桥梁专业的中级职称”得</w:t>
            </w:r>
            <w:r>
              <w:rPr>
                <w:rStyle w:val="641"/>
                <w:rFonts w:hint="eastAsia" w:ascii="仿宋" w:hAnsi="仿宋" w:eastAsia="仿宋" w:cs="宋体"/>
                <w:color w:val="auto"/>
                <w:sz w:val="24"/>
                <w:szCs w:val="24"/>
                <w:highlight w:val="none"/>
                <w:lang w:val="ja-JP" w:eastAsia="zh-CN" w:bidi="ja-JP"/>
              </w:rPr>
              <w:t>1</w:t>
            </w:r>
            <w:r>
              <w:rPr>
                <w:rStyle w:val="641"/>
                <w:rFonts w:hint="eastAsia" w:ascii="仿宋" w:hAnsi="仿宋" w:eastAsia="仿宋" w:cs="宋体"/>
                <w:color w:val="auto"/>
                <w:sz w:val="24"/>
                <w:szCs w:val="24"/>
                <w:highlight w:val="none"/>
                <w:lang w:val="ja-JP" w:eastAsia="ja-JP" w:bidi="ja-JP"/>
              </w:rPr>
              <w:t>分</w:t>
            </w:r>
            <w:r>
              <w:rPr>
                <w:rStyle w:val="641"/>
                <w:rFonts w:hint="eastAsia" w:ascii="仿宋" w:hAnsi="仿宋" w:eastAsia="仿宋" w:cs="宋体"/>
                <w:color w:val="auto"/>
                <w:sz w:val="24"/>
                <w:szCs w:val="24"/>
                <w:highlight w:val="none"/>
                <w:lang w:val="ja-JP" w:eastAsia="zh-CN" w:bidi="ja-JP"/>
              </w:rPr>
              <w:t>；</w:t>
            </w:r>
            <w:r>
              <w:rPr>
                <w:rStyle w:val="641"/>
                <w:rFonts w:hint="eastAsia" w:ascii="仿宋" w:hAnsi="仿宋" w:eastAsia="仿宋" w:cs="宋体"/>
                <w:color w:val="auto"/>
                <w:sz w:val="24"/>
                <w:szCs w:val="24"/>
                <w:highlight w:val="none"/>
                <w:lang w:val="ja-JP" w:eastAsia="ja-JP" w:bidi="ja-JP"/>
              </w:rPr>
              <w:t>具有一级注册结构工程师证书</w:t>
            </w:r>
            <w:r>
              <w:rPr>
                <w:rStyle w:val="641"/>
                <w:rFonts w:hint="eastAsia" w:ascii="仿宋" w:hAnsi="仿宋" w:eastAsia="仿宋" w:cs="宋体"/>
                <w:color w:val="auto"/>
                <w:sz w:val="24"/>
                <w:szCs w:val="24"/>
                <w:highlight w:val="none"/>
                <w:lang w:val="ja-JP" w:eastAsia="zh-CN" w:bidi="ja-JP"/>
              </w:rPr>
              <w:t>、</w:t>
            </w:r>
            <w:r>
              <w:rPr>
                <w:rStyle w:val="641"/>
                <w:rFonts w:hint="eastAsia" w:ascii="仿宋" w:hAnsi="仿宋" w:eastAsia="仿宋" w:cs="宋体"/>
                <w:color w:val="auto"/>
                <w:sz w:val="24"/>
                <w:szCs w:val="24"/>
                <w:highlight w:val="none"/>
                <w:lang w:val="ja-JP" w:eastAsia="ja-JP" w:bidi="ja-JP"/>
              </w:rPr>
              <w:t>注册在响应人并在有效期内的，得</w:t>
            </w:r>
            <w:r>
              <w:rPr>
                <w:rStyle w:val="641"/>
                <w:rFonts w:hint="eastAsia" w:ascii="仿宋" w:hAnsi="仿宋" w:eastAsia="仿宋" w:cs="宋体"/>
                <w:color w:val="auto"/>
                <w:sz w:val="24"/>
                <w:szCs w:val="24"/>
                <w:highlight w:val="none"/>
                <w:lang w:val="ja-JP" w:eastAsia="zh-CN" w:bidi="ja-JP"/>
              </w:rPr>
              <w:t>1</w:t>
            </w:r>
            <w:r>
              <w:rPr>
                <w:rStyle w:val="641"/>
                <w:rFonts w:hint="eastAsia" w:ascii="仿宋" w:hAnsi="仿宋" w:eastAsia="仿宋" w:cs="宋体"/>
                <w:color w:val="auto"/>
                <w:sz w:val="24"/>
                <w:szCs w:val="24"/>
                <w:highlight w:val="none"/>
                <w:lang w:val="ja-JP" w:eastAsia="ja-JP" w:bidi="ja-JP"/>
              </w:rPr>
              <w:t>分</w:t>
            </w:r>
            <w:r>
              <w:rPr>
                <w:rStyle w:val="641"/>
                <w:rFonts w:hint="eastAsia" w:ascii="仿宋" w:hAnsi="仿宋" w:eastAsia="仿宋" w:cs="宋体"/>
                <w:color w:val="auto"/>
                <w:sz w:val="24"/>
                <w:szCs w:val="24"/>
                <w:highlight w:val="none"/>
                <w:lang w:val="ja-JP" w:eastAsia="zh-CN" w:bidi="ja-JP"/>
              </w:rPr>
              <w:t>。</w:t>
            </w:r>
          </w:p>
          <w:p w14:paraId="0548ABFC">
            <w:pPr>
              <w:pStyle w:val="640"/>
              <w:ind w:firstLine="200"/>
              <w:rPr>
                <w:rStyle w:val="641"/>
                <w:rFonts w:hint="eastAsia" w:ascii="仿宋" w:hAnsi="仿宋" w:eastAsia="仿宋" w:cs="宋体"/>
                <w:color w:val="auto"/>
                <w:sz w:val="24"/>
                <w:szCs w:val="24"/>
                <w:highlight w:val="none"/>
                <w:lang w:val="ja-JP" w:eastAsia="ja-JP" w:bidi="ja-JP"/>
              </w:rPr>
            </w:pPr>
            <w:r>
              <w:rPr>
                <w:rStyle w:val="641"/>
                <w:rFonts w:hint="eastAsia" w:ascii="仿宋" w:hAnsi="仿宋" w:eastAsia="仿宋" w:cs="宋体"/>
                <w:color w:val="auto"/>
                <w:sz w:val="24"/>
                <w:szCs w:val="24"/>
                <w:highlight w:val="none"/>
                <w:lang w:val="ja-JP" w:eastAsia="ja-JP" w:bidi="ja-JP"/>
              </w:rPr>
              <w:t xml:space="preserve">(2) </w:t>
            </w:r>
            <w:r>
              <w:rPr>
                <w:rStyle w:val="641"/>
                <w:rFonts w:hint="eastAsia" w:ascii="仿宋" w:hAnsi="仿宋" w:eastAsia="仿宋" w:cs="宋体"/>
                <w:color w:val="auto"/>
                <w:sz w:val="24"/>
                <w:szCs w:val="24"/>
                <w:highlight w:val="none"/>
                <w:lang w:val="ja-JP" w:eastAsia="zh-CN" w:bidi="ja-JP"/>
              </w:rPr>
              <w:t>技术</w:t>
            </w:r>
            <w:r>
              <w:rPr>
                <w:rStyle w:val="641"/>
                <w:rFonts w:hint="eastAsia" w:ascii="仿宋" w:hAnsi="仿宋" w:eastAsia="仿宋" w:cs="宋体"/>
                <w:color w:val="auto"/>
                <w:sz w:val="24"/>
                <w:szCs w:val="24"/>
                <w:highlight w:val="none"/>
                <w:lang w:val="ja-JP" w:eastAsia="ja-JP" w:bidi="ja-JP"/>
              </w:rPr>
              <w:t>负责人具有“桥梁专业的高级及以上职称”得</w:t>
            </w:r>
            <w:r>
              <w:rPr>
                <w:rStyle w:val="641"/>
                <w:rFonts w:hint="eastAsia" w:ascii="仿宋" w:hAnsi="仿宋" w:eastAsia="仿宋" w:cs="宋体"/>
                <w:color w:val="auto"/>
                <w:sz w:val="24"/>
                <w:szCs w:val="24"/>
                <w:highlight w:val="none"/>
                <w:lang w:val="ja-JP" w:eastAsia="zh-CN" w:bidi="ja-JP"/>
              </w:rPr>
              <w:t>2</w:t>
            </w:r>
            <w:r>
              <w:rPr>
                <w:rStyle w:val="641"/>
                <w:rFonts w:hint="eastAsia" w:ascii="仿宋" w:hAnsi="仿宋" w:eastAsia="仿宋" w:cs="宋体"/>
                <w:color w:val="auto"/>
                <w:sz w:val="24"/>
                <w:szCs w:val="24"/>
                <w:highlight w:val="none"/>
                <w:lang w:val="ja-JP" w:eastAsia="ja-JP" w:bidi="ja-JP"/>
              </w:rPr>
              <w:t xml:space="preserve"> 分,具有“桥梁专业的中级职称”得</w:t>
            </w:r>
            <w:r>
              <w:rPr>
                <w:rStyle w:val="641"/>
                <w:rFonts w:hint="eastAsia" w:ascii="仿宋" w:hAnsi="仿宋" w:eastAsia="仿宋" w:cs="宋体"/>
                <w:color w:val="auto"/>
                <w:sz w:val="24"/>
                <w:szCs w:val="24"/>
                <w:highlight w:val="none"/>
                <w:lang w:val="ja-JP" w:eastAsia="zh-CN" w:bidi="ja-JP"/>
              </w:rPr>
              <w:t>1</w:t>
            </w:r>
            <w:r>
              <w:rPr>
                <w:rStyle w:val="641"/>
                <w:rFonts w:hint="eastAsia" w:ascii="仿宋" w:hAnsi="仿宋" w:eastAsia="仿宋" w:cs="宋体"/>
                <w:color w:val="auto"/>
                <w:sz w:val="24"/>
                <w:szCs w:val="24"/>
                <w:highlight w:val="none"/>
                <w:lang w:val="ja-JP" w:eastAsia="ja-JP" w:bidi="ja-JP"/>
              </w:rPr>
              <w:t>分；</w:t>
            </w:r>
          </w:p>
          <w:p w14:paraId="61856478">
            <w:pPr>
              <w:pStyle w:val="640"/>
              <w:ind w:firstLine="200"/>
              <w:rPr>
                <w:rStyle w:val="641"/>
                <w:rFonts w:hint="eastAsia" w:ascii="仿宋" w:hAnsi="仿宋" w:eastAsia="仿宋" w:cs="宋体"/>
                <w:color w:val="auto"/>
                <w:sz w:val="24"/>
                <w:szCs w:val="24"/>
                <w:highlight w:val="none"/>
                <w:lang w:val="ja-JP" w:eastAsia="ja-JP" w:bidi="ja-JP"/>
              </w:rPr>
            </w:pPr>
            <w:r>
              <w:rPr>
                <w:rFonts w:ascii="仿宋" w:hAnsi="仿宋" w:eastAsia="仿宋" w:cs="宋体"/>
                <w:color w:val="auto"/>
                <w:sz w:val="24"/>
                <w:szCs w:val="24"/>
                <w:highlight w:val="none"/>
                <w:lang w:val="ja-JP" w:eastAsia="ja-JP" w:bidi="ja-JP"/>
              </w:rPr>
              <w:t>(3)</w:t>
            </w:r>
            <w:r>
              <w:rPr>
                <w:rStyle w:val="641"/>
                <w:rFonts w:hint="eastAsia" w:ascii="仿宋" w:hAnsi="仿宋" w:eastAsia="仿宋" w:cs="宋体"/>
                <w:color w:val="auto"/>
                <w:sz w:val="24"/>
                <w:szCs w:val="24"/>
                <w:highlight w:val="none"/>
                <w:lang w:val="ja-JP" w:eastAsia="ja-JP" w:bidi="ja-JP"/>
              </w:rPr>
              <w:t>检测人员</w:t>
            </w:r>
            <w:r>
              <w:rPr>
                <w:rStyle w:val="641"/>
                <w:rFonts w:hint="eastAsia" w:ascii="仿宋" w:hAnsi="仿宋" w:eastAsia="仿宋" w:cs="宋体"/>
                <w:color w:val="auto"/>
                <w:sz w:val="24"/>
                <w:szCs w:val="24"/>
                <w:highlight w:val="none"/>
                <w:lang w:val="ja-JP" w:eastAsia="zh-CN" w:bidi="ja-JP"/>
              </w:rPr>
              <w:t>（项目负责人、技术负责人除外）</w:t>
            </w:r>
            <w:r>
              <w:rPr>
                <w:rStyle w:val="641"/>
                <w:rFonts w:hint="eastAsia" w:ascii="仿宋" w:hAnsi="仿宋" w:eastAsia="仿宋" w:cs="宋体"/>
                <w:color w:val="auto"/>
                <w:sz w:val="24"/>
                <w:szCs w:val="24"/>
                <w:highlight w:val="none"/>
                <w:lang w:val="ja-JP" w:eastAsia="ja-JP" w:bidi="ja-JP"/>
              </w:rPr>
              <w:t>具有“桥梁专业的</w:t>
            </w:r>
            <w:r>
              <w:rPr>
                <w:rStyle w:val="641"/>
                <w:rFonts w:hint="eastAsia" w:ascii="仿宋" w:hAnsi="仿宋" w:eastAsia="仿宋" w:cs="宋体"/>
                <w:color w:val="auto"/>
                <w:sz w:val="24"/>
                <w:szCs w:val="24"/>
                <w:highlight w:val="none"/>
                <w:lang w:val="ja-JP" w:eastAsia="zh-CN" w:bidi="ja-JP"/>
              </w:rPr>
              <w:t>高</w:t>
            </w:r>
            <w:r>
              <w:rPr>
                <w:rStyle w:val="641"/>
                <w:rFonts w:hint="eastAsia" w:ascii="仿宋" w:hAnsi="仿宋" w:eastAsia="仿宋" w:cs="宋体"/>
                <w:color w:val="auto"/>
                <w:sz w:val="24"/>
                <w:szCs w:val="24"/>
                <w:highlight w:val="none"/>
                <w:lang w:val="ja-JP" w:eastAsia="ja-JP" w:bidi="ja-JP"/>
              </w:rPr>
              <w:t>级</w:t>
            </w:r>
            <w:r>
              <w:rPr>
                <w:rStyle w:val="641"/>
                <w:rFonts w:hint="eastAsia" w:ascii="仿宋" w:hAnsi="仿宋" w:eastAsia="仿宋" w:cs="宋体"/>
                <w:color w:val="auto"/>
                <w:sz w:val="24"/>
                <w:szCs w:val="24"/>
                <w:highlight w:val="none"/>
                <w:lang w:val="ja-JP" w:eastAsia="zh-CN" w:bidi="ja-JP"/>
              </w:rPr>
              <w:t>及以上</w:t>
            </w:r>
            <w:r>
              <w:rPr>
                <w:rStyle w:val="641"/>
                <w:rFonts w:hint="eastAsia" w:ascii="仿宋" w:hAnsi="仿宋" w:eastAsia="仿宋" w:cs="宋体"/>
                <w:color w:val="auto"/>
                <w:sz w:val="24"/>
                <w:szCs w:val="24"/>
                <w:highlight w:val="none"/>
                <w:lang w:val="ja-JP" w:eastAsia="ja-JP" w:bidi="ja-JP"/>
              </w:rPr>
              <w:t>职称”,毎人得</w:t>
            </w:r>
            <w:r>
              <w:rPr>
                <w:rStyle w:val="641"/>
                <w:rFonts w:hint="eastAsia" w:ascii="仿宋" w:hAnsi="仿宋" w:eastAsia="仿宋" w:cs="宋体"/>
                <w:color w:val="auto"/>
                <w:sz w:val="24"/>
                <w:szCs w:val="24"/>
                <w:highlight w:val="none"/>
                <w:lang w:val="ja-JP" w:eastAsia="zh-CN" w:bidi="ja-JP"/>
              </w:rPr>
              <w:t>1</w:t>
            </w:r>
            <w:r>
              <w:rPr>
                <w:rStyle w:val="641"/>
                <w:rFonts w:hint="eastAsia" w:ascii="仿宋" w:hAnsi="仿宋" w:eastAsia="仿宋" w:cs="宋体"/>
                <w:color w:val="auto"/>
                <w:sz w:val="24"/>
                <w:szCs w:val="24"/>
                <w:highlight w:val="none"/>
                <w:lang w:val="ja-JP" w:eastAsia="ja-JP" w:bidi="ja-JP"/>
              </w:rPr>
              <w:t>分</w:t>
            </w:r>
            <w:r>
              <w:rPr>
                <w:rStyle w:val="641"/>
                <w:rFonts w:hint="eastAsia" w:ascii="仿宋" w:hAnsi="仿宋" w:eastAsia="仿宋" w:cs="宋体"/>
                <w:color w:val="auto"/>
                <w:sz w:val="24"/>
                <w:szCs w:val="24"/>
                <w:highlight w:val="none"/>
                <w:lang w:val="ja-JP" w:eastAsia="zh-CN" w:bidi="ja-JP"/>
              </w:rPr>
              <w:t>，最高得2分；</w:t>
            </w:r>
            <w:r>
              <w:rPr>
                <w:rStyle w:val="641"/>
                <w:rFonts w:hint="eastAsia" w:ascii="仿宋" w:hAnsi="仿宋" w:eastAsia="仿宋" w:cs="宋体"/>
                <w:color w:val="auto"/>
                <w:sz w:val="24"/>
                <w:szCs w:val="24"/>
                <w:highlight w:val="none"/>
                <w:lang w:val="ja-JP" w:eastAsia="ja-JP" w:bidi="ja-JP"/>
              </w:rPr>
              <w:t>具有“桥梁专业的</w:t>
            </w:r>
            <w:r>
              <w:rPr>
                <w:rStyle w:val="641"/>
                <w:rFonts w:hint="eastAsia" w:ascii="仿宋" w:hAnsi="仿宋" w:eastAsia="仿宋" w:cs="宋体"/>
                <w:color w:val="auto"/>
                <w:sz w:val="24"/>
                <w:szCs w:val="24"/>
                <w:highlight w:val="none"/>
                <w:lang w:val="ja-JP" w:eastAsia="zh-CN" w:bidi="ja-JP"/>
              </w:rPr>
              <w:t>中</w:t>
            </w:r>
            <w:r>
              <w:rPr>
                <w:rStyle w:val="641"/>
                <w:rFonts w:hint="eastAsia" w:ascii="仿宋" w:hAnsi="仿宋" w:eastAsia="仿宋" w:cs="宋体"/>
                <w:color w:val="auto"/>
                <w:sz w:val="24"/>
                <w:szCs w:val="24"/>
                <w:highlight w:val="none"/>
                <w:lang w:val="ja-JP" w:eastAsia="ja-JP" w:bidi="ja-JP"/>
              </w:rPr>
              <w:t>级职称”,毎人得</w:t>
            </w:r>
            <w:r>
              <w:rPr>
                <w:rStyle w:val="641"/>
                <w:rFonts w:hint="eastAsia" w:ascii="仿宋" w:hAnsi="仿宋" w:eastAsia="仿宋" w:cs="宋体"/>
                <w:color w:val="auto"/>
                <w:sz w:val="24"/>
                <w:szCs w:val="24"/>
                <w:highlight w:val="none"/>
                <w:lang w:val="ja-JP" w:eastAsia="zh-CN" w:bidi="ja-JP"/>
              </w:rPr>
              <w:t>0.5</w:t>
            </w:r>
            <w:r>
              <w:rPr>
                <w:rStyle w:val="641"/>
                <w:rFonts w:hint="eastAsia" w:ascii="仿宋" w:hAnsi="仿宋" w:eastAsia="仿宋" w:cs="宋体"/>
                <w:color w:val="auto"/>
                <w:sz w:val="24"/>
                <w:szCs w:val="24"/>
                <w:highlight w:val="none"/>
                <w:lang w:val="ja-JP" w:eastAsia="ja-JP" w:bidi="ja-JP"/>
              </w:rPr>
              <w:t>分</w:t>
            </w:r>
            <w:r>
              <w:rPr>
                <w:rStyle w:val="641"/>
                <w:rFonts w:hint="eastAsia" w:ascii="仿宋" w:hAnsi="仿宋" w:eastAsia="仿宋" w:cs="宋体"/>
                <w:color w:val="auto"/>
                <w:sz w:val="24"/>
                <w:szCs w:val="24"/>
                <w:highlight w:val="none"/>
                <w:lang w:val="ja-JP" w:eastAsia="zh-CN" w:bidi="ja-JP"/>
              </w:rPr>
              <w:t>，最高得1分。</w:t>
            </w:r>
          </w:p>
          <w:p w14:paraId="12486143">
            <w:pPr>
              <w:pStyle w:val="640"/>
              <w:ind w:firstLine="200"/>
              <w:rPr>
                <w:rStyle w:val="641"/>
                <w:rFonts w:hint="eastAsia" w:ascii="仿宋" w:hAnsi="仿宋" w:eastAsia="仿宋" w:cs="宋体"/>
                <w:color w:val="auto"/>
                <w:sz w:val="24"/>
                <w:highlight w:val="none"/>
                <w:lang w:val="ja-JP" w:eastAsia="zh-CN" w:bidi="ja-JP"/>
              </w:rPr>
            </w:pPr>
            <w:r>
              <w:rPr>
                <w:rStyle w:val="641"/>
                <w:rFonts w:ascii="仿宋" w:hAnsi="仿宋" w:eastAsia="仿宋" w:cs="宋体"/>
                <w:color w:val="auto"/>
                <w:sz w:val="24"/>
                <w:highlight w:val="none"/>
                <w:lang w:val="ja-JP" w:eastAsia="ja-JP" w:bidi="ja-JP"/>
              </w:rPr>
              <w:t>(</w:t>
            </w:r>
            <w:r>
              <w:rPr>
                <w:rStyle w:val="641"/>
                <w:rFonts w:hint="eastAsia" w:ascii="仿宋" w:hAnsi="仿宋" w:eastAsia="仿宋" w:cs="宋体"/>
                <w:color w:val="auto"/>
                <w:sz w:val="24"/>
                <w:szCs w:val="24"/>
                <w:highlight w:val="none"/>
                <w:lang w:val="ja-JP" w:eastAsia="zh-CN" w:bidi="ja-JP"/>
              </w:rPr>
              <w:t>4</w:t>
            </w:r>
            <w:r>
              <w:rPr>
                <w:rStyle w:val="641"/>
                <w:rFonts w:ascii="仿宋" w:hAnsi="仿宋" w:eastAsia="仿宋" w:cs="宋体"/>
                <w:color w:val="auto"/>
                <w:sz w:val="24"/>
                <w:highlight w:val="none"/>
                <w:lang w:val="ja-JP" w:eastAsia="ja-JP" w:bidi="ja-JP"/>
              </w:rPr>
              <w:t>)</w:t>
            </w:r>
            <w:r>
              <w:rPr>
                <w:rStyle w:val="641"/>
                <w:rFonts w:hint="eastAsia" w:ascii="仿宋" w:hAnsi="仿宋" w:eastAsia="仿宋" w:cs="宋体"/>
                <w:color w:val="auto"/>
                <w:sz w:val="24"/>
                <w:szCs w:val="24"/>
                <w:highlight w:val="none"/>
                <w:lang w:val="ja-JP" w:eastAsia="ja-JP" w:bidi="ja-JP"/>
              </w:rPr>
              <w:t>项目负责人或技术</w:t>
            </w:r>
            <w:r>
              <w:rPr>
                <w:rStyle w:val="641"/>
                <w:rFonts w:hint="eastAsia" w:ascii="仿宋" w:hAnsi="仿宋" w:eastAsia="仿宋" w:cs="宋体"/>
                <w:color w:val="auto"/>
                <w:sz w:val="24"/>
                <w:szCs w:val="24"/>
                <w:highlight w:val="none"/>
                <w:lang w:val="ja-JP" w:eastAsia="zh-CN" w:bidi="ja-JP"/>
              </w:rPr>
              <w:t>负责人</w:t>
            </w:r>
            <w:r>
              <w:rPr>
                <w:rStyle w:val="641"/>
                <w:rFonts w:ascii="仿宋" w:hAnsi="仿宋" w:eastAsia="仿宋" w:cs="宋体"/>
                <w:color w:val="auto"/>
                <w:sz w:val="24"/>
                <w:highlight w:val="none"/>
                <w:lang w:val="ja-JP" w:eastAsia="zh-CN" w:bidi="ja-JP"/>
              </w:rPr>
              <w:t>在202</w:t>
            </w:r>
            <w:r>
              <w:rPr>
                <w:rStyle w:val="641"/>
                <w:rFonts w:hint="eastAsia" w:ascii="仿宋" w:hAnsi="仿宋" w:eastAsia="仿宋" w:cs="宋体"/>
                <w:color w:val="auto"/>
                <w:sz w:val="24"/>
                <w:highlight w:val="none"/>
                <w:lang w:val="ja-JP" w:eastAsia="zh-CN" w:bidi="ja-JP"/>
              </w:rPr>
              <w:t>3</w:t>
            </w:r>
            <w:r>
              <w:rPr>
                <w:rStyle w:val="641"/>
                <w:rFonts w:ascii="仿宋" w:hAnsi="仿宋" w:eastAsia="仿宋" w:cs="宋体"/>
                <w:color w:val="auto"/>
                <w:sz w:val="24"/>
                <w:highlight w:val="none"/>
                <w:lang w:val="ja-JP" w:eastAsia="zh-CN" w:bidi="ja-JP"/>
              </w:rPr>
              <w:t>年1月1日以来（签订合同时间）</w:t>
            </w:r>
            <w:r>
              <w:rPr>
                <w:rStyle w:val="641"/>
                <w:rFonts w:hint="eastAsia" w:ascii="仿宋" w:hAnsi="仿宋" w:eastAsia="仿宋" w:cs="宋体"/>
                <w:color w:val="auto"/>
                <w:sz w:val="24"/>
                <w:szCs w:val="24"/>
                <w:highlight w:val="none"/>
                <w:lang w:val="ja-JP" w:eastAsia="zh-CN" w:bidi="ja-JP"/>
              </w:rPr>
              <w:t>以</w:t>
            </w:r>
            <w:r>
              <w:rPr>
                <w:rStyle w:val="641"/>
                <w:rFonts w:ascii="仿宋" w:hAnsi="仿宋" w:eastAsia="仿宋" w:cs="宋体"/>
                <w:color w:val="auto"/>
                <w:sz w:val="24"/>
                <w:highlight w:val="none"/>
                <w:lang w:val="ja-JP" w:eastAsia="zh-CN" w:bidi="ja-JP"/>
              </w:rPr>
              <w:t>项目负责人或技术负责人</w:t>
            </w:r>
            <w:r>
              <w:rPr>
                <w:rStyle w:val="641"/>
                <w:rFonts w:hint="eastAsia" w:ascii="仿宋" w:hAnsi="仿宋" w:eastAsia="仿宋" w:cs="宋体"/>
                <w:color w:val="auto"/>
                <w:sz w:val="24"/>
                <w:highlight w:val="none"/>
                <w:lang w:val="ja-JP" w:eastAsia="zh-CN" w:bidi="ja-JP"/>
              </w:rPr>
              <w:t>身份承担过</w:t>
            </w:r>
            <w:r>
              <w:rPr>
                <w:rStyle w:val="641"/>
                <w:rFonts w:ascii="仿宋" w:hAnsi="仿宋" w:eastAsia="仿宋" w:cs="宋体"/>
                <w:color w:val="auto"/>
                <w:sz w:val="24"/>
                <w:highlight w:val="none"/>
                <w:lang w:val="ja-JP" w:eastAsia="zh-CN" w:bidi="ja-JP"/>
              </w:rPr>
              <w:t>类似业绩的，每提供一个合同得</w:t>
            </w:r>
            <w:r>
              <w:rPr>
                <w:rStyle w:val="641"/>
                <w:rFonts w:hint="eastAsia" w:ascii="仿宋" w:hAnsi="仿宋" w:eastAsia="仿宋" w:cs="宋体"/>
                <w:color w:val="auto"/>
                <w:sz w:val="24"/>
                <w:highlight w:val="none"/>
                <w:lang w:val="ja-JP" w:eastAsia="zh-CN" w:bidi="ja-JP"/>
              </w:rPr>
              <w:t>0.5</w:t>
            </w:r>
            <w:r>
              <w:rPr>
                <w:rStyle w:val="641"/>
                <w:rFonts w:ascii="仿宋" w:hAnsi="仿宋" w:eastAsia="仿宋" w:cs="宋体"/>
                <w:color w:val="auto"/>
                <w:sz w:val="24"/>
                <w:highlight w:val="none"/>
                <w:lang w:val="ja-JP" w:eastAsia="zh-CN" w:bidi="ja-JP"/>
              </w:rPr>
              <w:t>分，最高得</w:t>
            </w:r>
            <w:r>
              <w:rPr>
                <w:rStyle w:val="641"/>
                <w:rFonts w:hint="eastAsia" w:ascii="仿宋" w:hAnsi="仿宋" w:eastAsia="仿宋" w:cs="宋体"/>
                <w:color w:val="auto"/>
                <w:sz w:val="24"/>
                <w:highlight w:val="none"/>
                <w:lang w:val="ja-JP" w:eastAsia="zh-CN" w:bidi="ja-JP"/>
              </w:rPr>
              <w:t>1</w:t>
            </w:r>
            <w:r>
              <w:rPr>
                <w:rStyle w:val="641"/>
                <w:rFonts w:ascii="仿宋" w:hAnsi="仿宋" w:eastAsia="仿宋" w:cs="宋体"/>
                <w:color w:val="auto"/>
                <w:sz w:val="24"/>
                <w:highlight w:val="none"/>
                <w:lang w:val="ja-JP" w:eastAsia="zh-CN" w:bidi="ja-JP"/>
              </w:rPr>
              <w:t>分。</w:t>
            </w:r>
            <w:r>
              <w:rPr>
                <w:rStyle w:val="641"/>
                <w:rFonts w:hint="eastAsia" w:ascii="仿宋" w:hAnsi="仿宋" w:eastAsia="仿宋" w:cs="宋体"/>
                <w:color w:val="auto"/>
                <w:sz w:val="24"/>
                <w:szCs w:val="24"/>
                <w:highlight w:val="none"/>
                <w:lang w:val="ja-JP" w:eastAsia="ja-JP" w:bidi="ja-JP"/>
              </w:rPr>
              <w:t>【证明材料：</w:t>
            </w:r>
            <w:r>
              <w:rPr>
                <w:rStyle w:val="641"/>
                <w:rFonts w:hint="eastAsia" w:ascii="仿宋" w:hAnsi="仿宋" w:eastAsia="仿宋" w:cs="宋体"/>
                <w:color w:val="auto"/>
                <w:sz w:val="24"/>
                <w:szCs w:val="24"/>
                <w:highlight w:val="none"/>
                <w:lang w:val="ja-JP" w:eastAsia="ja-JP" w:bidi="ja-JP"/>
              </w:rPr>
              <w:fldChar w:fldCharType="begin"/>
            </w:r>
            <w:r>
              <w:rPr>
                <w:rStyle w:val="641"/>
                <w:rFonts w:hint="eastAsia" w:ascii="仿宋" w:hAnsi="仿宋" w:eastAsia="仿宋" w:cs="宋体"/>
                <w:color w:val="auto"/>
                <w:sz w:val="24"/>
                <w:szCs w:val="24"/>
                <w:highlight w:val="none"/>
                <w:lang w:val="ja-JP" w:eastAsia="ja-JP" w:bidi="ja-JP"/>
              </w:rPr>
              <w:instrText xml:space="preserve"> = 1 \* GB3 </w:instrText>
            </w:r>
            <w:r>
              <w:rPr>
                <w:rStyle w:val="641"/>
                <w:rFonts w:hint="eastAsia" w:ascii="仿宋" w:hAnsi="仿宋" w:eastAsia="仿宋" w:cs="宋体"/>
                <w:color w:val="auto"/>
                <w:sz w:val="24"/>
                <w:szCs w:val="24"/>
                <w:highlight w:val="none"/>
                <w:lang w:val="ja-JP" w:eastAsia="ja-JP" w:bidi="ja-JP"/>
              </w:rPr>
              <w:fldChar w:fldCharType="separate"/>
            </w:r>
            <w:r>
              <w:rPr>
                <w:rStyle w:val="641"/>
                <w:rFonts w:hint="eastAsia" w:ascii="仿宋" w:hAnsi="仿宋" w:eastAsia="仿宋" w:cs="宋体"/>
                <w:color w:val="auto"/>
                <w:sz w:val="24"/>
                <w:szCs w:val="24"/>
                <w:highlight w:val="none"/>
                <w:lang w:val="ja-JP" w:eastAsia="ja-JP" w:bidi="ja-JP"/>
              </w:rPr>
              <w:t>①</w:t>
            </w:r>
            <w:r>
              <w:rPr>
                <w:rStyle w:val="641"/>
                <w:rFonts w:hint="eastAsia" w:ascii="仿宋" w:hAnsi="仿宋" w:eastAsia="仿宋" w:cs="宋体"/>
                <w:color w:val="auto"/>
                <w:sz w:val="24"/>
                <w:szCs w:val="24"/>
                <w:highlight w:val="none"/>
                <w:lang w:val="ja-JP" w:eastAsia="ja-JP" w:bidi="ja-JP"/>
              </w:rPr>
              <w:fldChar w:fldCharType="end"/>
            </w:r>
            <w:r>
              <w:rPr>
                <w:rStyle w:val="641"/>
                <w:rFonts w:hint="eastAsia" w:ascii="仿宋" w:hAnsi="仿宋" w:eastAsia="仿宋" w:cs="宋体"/>
                <w:color w:val="auto"/>
                <w:sz w:val="24"/>
                <w:szCs w:val="24"/>
                <w:highlight w:val="none"/>
                <w:lang w:val="ja-JP" w:eastAsia="ja-JP" w:bidi="ja-JP"/>
              </w:rPr>
              <w:t>响应文件中提供合同加盖公章</w:t>
            </w:r>
            <w:r>
              <w:rPr>
                <w:rStyle w:val="641"/>
                <w:rFonts w:hint="eastAsia" w:ascii="仿宋" w:hAnsi="仿宋" w:eastAsia="仿宋" w:cs="宋体"/>
                <w:color w:val="auto"/>
                <w:sz w:val="24"/>
                <w:szCs w:val="24"/>
                <w:highlight w:val="none"/>
                <w:lang w:val="ja-JP" w:eastAsia="zh-CN" w:bidi="ja-JP"/>
              </w:rPr>
              <w:t>,</w:t>
            </w:r>
            <w:r>
              <w:rPr>
                <w:rFonts w:ascii="仿宋" w:hAnsi="仿宋" w:eastAsia="仿宋" w:cs="宋体"/>
                <w:color w:val="auto"/>
                <w:sz w:val="24"/>
                <w:szCs w:val="24"/>
                <w:highlight w:val="none"/>
                <w:lang w:val="en-US" w:eastAsia="zh-CN" w:bidi="ja-JP"/>
              </w:rPr>
              <w:t>如</w:t>
            </w:r>
            <w:r>
              <w:rPr>
                <w:rFonts w:hint="eastAsia" w:ascii="仿宋" w:hAnsi="仿宋" w:eastAsia="仿宋" w:cs="宋体"/>
                <w:color w:val="auto"/>
                <w:sz w:val="24"/>
                <w:szCs w:val="24"/>
                <w:highlight w:val="none"/>
                <w:lang w:val="en-US" w:eastAsia="zh-CN" w:bidi="ja-JP"/>
              </w:rPr>
              <w:t>合同</w:t>
            </w:r>
            <w:r>
              <w:rPr>
                <w:rFonts w:ascii="仿宋" w:hAnsi="仿宋" w:eastAsia="仿宋" w:cs="宋体"/>
                <w:color w:val="auto"/>
                <w:sz w:val="24"/>
                <w:szCs w:val="24"/>
                <w:highlight w:val="none"/>
                <w:lang w:val="en-US" w:eastAsia="zh-CN" w:bidi="ja-JP"/>
              </w:rPr>
              <w:t>中未体现评审内容的，需提供项目发包人或项目所在地行业主管部门出具的证明材料清晰复印件（或扫描件），否则业绩不予认可</w:t>
            </w:r>
            <w:r>
              <w:rPr>
                <w:rFonts w:hint="eastAsia" w:ascii="仿宋" w:hAnsi="仿宋" w:eastAsia="仿宋" w:cs="宋体"/>
                <w:color w:val="auto"/>
                <w:sz w:val="24"/>
                <w:szCs w:val="24"/>
                <w:highlight w:val="none"/>
                <w:lang w:val="en-US" w:eastAsia="zh-CN" w:bidi="ja-JP"/>
              </w:rPr>
              <w:t>。</w:t>
            </w:r>
            <w:r>
              <w:rPr>
                <w:rStyle w:val="641"/>
                <w:rFonts w:hint="eastAsia" w:ascii="仿宋" w:hAnsi="仿宋" w:eastAsia="仿宋" w:cs="宋体"/>
                <w:color w:val="auto"/>
                <w:sz w:val="24"/>
                <w:szCs w:val="24"/>
                <w:highlight w:val="none"/>
                <w:lang w:val="ja-JP" w:eastAsia="ja-JP" w:bidi="ja-JP"/>
              </w:rPr>
              <w:t>】</w:t>
            </w:r>
          </w:p>
          <w:p w14:paraId="514F0234">
            <w:pPr>
              <w:pStyle w:val="640"/>
              <w:rPr>
                <w:rStyle w:val="641"/>
                <w:rFonts w:hint="eastAsia" w:ascii="仿宋" w:hAnsi="仿宋" w:eastAsia="仿宋" w:cs="宋体"/>
                <w:color w:val="auto"/>
                <w:sz w:val="24"/>
                <w:szCs w:val="24"/>
                <w:highlight w:val="none"/>
                <w:lang w:val="ja-JP" w:eastAsia="ja-JP" w:bidi="ja-JP"/>
              </w:rPr>
            </w:pPr>
            <w:r>
              <w:rPr>
                <w:rStyle w:val="641"/>
                <w:rFonts w:hint="eastAsia" w:ascii="仿宋" w:hAnsi="仿宋" w:eastAsia="仿宋" w:cs="宋体"/>
                <w:color w:val="auto"/>
                <w:sz w:val="24"/>
                <w:szCs w:val="24"/>
                <w:highlight w:val="none"/>
                <w:lang w:val="ja-JP" w:eastAsia="ja-JP" w:bidi="ja-JP"/>
              </w:rPr>
              <w:t>以上(1)</w:t>
            </w:r>
            <w:r>
              <w:rPr>
                <w:rStyle w:val="641"/>
                <w:rFonts w:hint="eastAsia" w:ascii="仿宋" w:hAnsi="仿宋" w:eastAsia="仿宋" w:cs="宋体"/>
                <w:color w:val="auto"/>
                <w:sz w:val="24"/>
                <w:szCs w:val="24"/>
                <w:highlight w:val="none"/>
                <w:lang w:val="ja-JP" w:eastAsia="zh-CN" w:bidi="ja-JP"/>
              </w:rPr>
              <w:t>~</w:t>
            </w:r>
            <w:r>
              <w:rPr>
                <w:rStyle w:val="641"/>
                <w:rFonts w:hint="eastAsia" w:ascii="仿宋" w:hAnsi="仿宋" w:eastAsia="仿宋" w:cs="宋体"/>
                <w:color w:val="auto"/>
                <w:sz w:val="24"/>
                <w:szCs w:val="24"/>
                <w:highlight w:val="none"/>
                <w:lang w:val="ja-JP" w:eastAsia="ja-JP" w:bidi="ja-JP"/>
              </w:rPr>
              <w:t>(</w:t>
            </w:r>
            <w:r>
              <w:rPr>
                <w:rStyle w:val="641"/>
                <w:rFonts w:hint="eastAsia" w:ascii="仿宋" w:hAnsi="仿宋" w:eastAsia="仿宋" w:cs="宋体"/>
                <w:color w:val="auto"/>
                <w:sz w:val="24"/>
                <w:szCs w:val="24"/>
                <w:highlight w:val="none"/>
                <w:lang w:val="ja-JP" w:eastAsia="zh-CN" w:bidi="ja-JP"/>
              </w:rPr>
              <w:t>3</w:t>
            </w:r>
            <w:r>
              <w:rPr>
                <w:rStyle w:val="641"/>
                <w:rFonts w:hint="eastAsia" w:ascii="仿宋" w:hAnsi="仿宋" w:eastAsia="仿宋" w:cs="宋体"/>
                <w:color w:val="auto"/>
                <w:sz w:val="24"/>
                <w:szCs w:val="24"/>
                <w:highlight w:val="none"/>
                <w:lang w:val="ja-JP" w:eastAsia="ja-JP" w:bidi="ja-JP"/>
              </w:rPr>
              <w:t>)项</w:t>
            </w:r>
            <w:r>
              <w:rPr>
                <w:rStyle w:val="641"/>
                <w:rFonts w:hint="eastAsia" w:ascii="仿宋" w:hAnsi="仿宋" w:eastAsia="仿宋" w:cs="宋体"/>
                <w:color w:val="auto"/>
                <w:sz w:val="24"/>
                <w:szCs w:val="24"/>
                <w:highlight w:val="none"/>
                <w:lang w:val="ja-JP" w:eastAsia="zh-CN" w:bidi="ja-JP"/>
              </w:rPr>
              <w:t>人员均需</w:t>
            </w:r>
            <w:r>
              <w:rPr>
                <w:rStyle w:val="641"/>
                <w:rFonts w:hint="eastAsia" w:ascii="仿宋" w:hAnsi="仿宋" w:eastAsia="仿宋" w:cs="宋体"/>
                <w:color w:val="auto"/>
                <w:sz w:val="24"/>
                <w:szCs w:val="24"/>
                <w:highlight w:val="none"/>
                <w:lang w:val="ja-JP" w:eastAsia="ja-JP" w:bidi="ja-JP"/>
              </w:rPr>
              <w:t>具有</w:t>
            </w:r>
            <w:r>
              <w:rPr>
                <w:rFonts w:ascii="仿宋" w:hAnsi="仿宋" w:eastAsia="仿宋" w:cs="宋体"/>
                <w:color w:val="auto"/>
                <w:sz w:val="24"/>
                <w:szCs w:val="24"/>
                <w:highlight w:val="none"/>
                <w:lang w:val="en-US" w:eastAsia="ja-JP" w:bidi="ja-JP"/>
              </w:rPr>
              <w:t>建设工程检测人员培训合格证（含桥梁</w:t>
            </w:r>
            <w:r>
              <w:rPr>
                <w:rFonts w:hint="eastAsia" w:ascii="仿宋" w:hAnsi="仿宋" w:eastAsia="仿宋" w:cs="宋体"/>
                <w:color w:val="auto"/>
                <w:sz w:val="24"/>
                <w:szCs w:val="24"/>
                <w:highlight w:val="none"/>
                <w:lang w:val="en-US" w:eastAsia="zh-CN" w:bidi="ja-JP"/>
              </w:rPr>
              <w:t>及地下工程</w:t>
            </w:r>
            <w:r>
              <w:rPr>
                <w:rFonts w:ascii="仿宋" w:hAnsi="仿宋" w:eastAsia="仿宋" w:cs="宋体"/>
                <w:color w:val="auto"/>
                <w:sz w:val="24"/>
                <w:szCs w:val="24"/>
                <w:highlight w:val="none"/>
                <w:lang w:val="en-US" w:eastAsia="ja-JP" w:bidi="ja-JP"/>
              </w:rPr>
              <w:t>）</w:t>
            </w:r>
            <w:r>
              <w:rPr>
                <w:rFonts w:hint="eastAsia" w:ascii="仿宋" w:hAnsi="仿宋" w:eastAsia="仿宋" w:cs="宋体"/>
                <w:color w:val="auto"/>
                <w:sz w:val="24"/>
                <w:szCs w:val="24"/>
                <w:highlight w:val="none"/>
                <w:lang w:val="en-US" w:eastAsia="zh-CN" w:bidi="ja-JP"/>
              </w:rPr>
              <w:t>且从业机构为响应人</w:t>
            </w:r>
            <w:r>
              <w:rPr>
                <w:rStyle w:val="641"/>
                <w:rFonts w:hint="eastAsia" w:ascii="仿宋" w:hAnsi="仿宋" w:eastAsia="仿宋" w:cs="宋体"/>
                <w:color w:val="auto"/>
                <w:sz w:val="24"/>
                <w:szCs w:val="24"/>
                <w:highlight w:val="none"/>
                <w:lang w:val="ja-JP" w:eastAsia="ja-JP" w:bidi="ja-JP"/>
              </w:rPr>
              <w:t>,</w:t>
            </w:r>
            <w:r>
              <w:rPr>
                <w:rStyle w:val="641"/>
                <w:rFonts w:hint="eastAsia" w:ascii="仿宋" w:hAnsi="仿宋" w:eastAsia="仿宋" w:cs="宋体"/>
                <w:color w:val="auto"/>
                <w:sz w:val="24"/>
                <w:szCs w:val="24"/>
                <w:highlight w:val="none"/>
                <w:lang w:val="ja-JP" w:eastAsia="zh-CN" w:bidi="ja-JP"/>
              </w:rPr>
              <w:t>否则不</w:t>
            </w:r>
            <w:r>
              <w:rPr>
                <w:rStyle w:val="641"/>
                <w:rFonts w:hint="eastAsia" w:ascii="仿宋" w:hAnsi="仿宋" w:eastAsia="仿宋" w:cs="宋体"/>
                <w:color w:val="auto"/>
                <w:sz w:val="24"/>
                <w:szCs w:val="24"/>
                <w:highlight w:val="none"/>
                <w:lang w:val="ja-JP" w:eastAsia="ja-JP" w:bidi="ja-JP"/>
              </w:rPr>
              <w:t>得分。</w:t>
            </w:r>
            <w:r>
              <w:rPr>
                <w:rStyle w:val="641"/>
                <w:rFonts w:hint="eastAsia" w:ascii="仿宋" w:hAnsi="仿宋" w:eastAsia="仿宋" w:cs="宋体"/>
                <w:color w:val="auto"/>
                <w:sz w:val="24"/>
                <w:szCs w:val="24"/>
                <w:highlight w:val="none"/>
                <w:lang w:val="ja-JP" w:eastAsia="zh-CN" w:bidi="ja-JP"/>
              </w:rPr>
              <w:t>同一人员不得兼任。</w:t>
            </w:r>
            <w:r>
              <w:rPr>
                <w:rStyle w:val="641"/>
                <w:rFonts w:hint="eastAsia" w:ascii="仿宋" w:hAnsi="仿宋" w:eastAsia="仿宋" w:cs="宋体"/>
                <w:color w:val="auto"/>
                <w:sz w:val="24"/>
                <w:szCs w:val="24"/>
                <w:highlight w:val="none"/>
                <w:lang w:val="ja-JP" w:eastAsia="ja-JP" w:bidi="ja-JP"/>
              </w:rPr>
              <w:t>证明材料提供职称证书、</w:t>
            </w:r>
            <w:r>
              <w:rPr>
                <w:rStyle w:val="641"/>
                <w:rFonts w:hint="eastAsia" w:ascii="仿宋" w:hAnsi="仿宋" w:eastAsia="仿宋" w:cs="宋体"/>
                <w:color w:val="auto"/>
                <w:sz w:val="24"/>
                <w:szCs w:val="24"/>
                <w:highlight w:val="none"/>
                <w:lang w:val="ja-JP" w:eastAsia="zh-CN" w:bidi="ja-JP"/>
              </w:rPr>
              <w:t>注册证书、</w:t>
            </w:r>
            <w:r>
              <w:rPr>
                <w:rStyle w:val="641"/>
                <w:rFonts w:hint="eastAsia" w:ascii="仿宋" w:hAnsi="仿宋" w:eastAsia="仿宋" w:cs="宋体"/>
                <w:color w:val="auto"/>
                <w:sz w:val="24"/>
                <w:szCs w:val="24"/>
                <w:highlight w:val="none"/>
                <w:lang w:val="ja-JP" w:eastAsia="ja-JP" w:bidi="ja-JP"/>
              </w:rPr>
              <w:t>检测</w:t>
            </w:r>
            <w:r>
              <w:rPr>
                <w:rStyle w:val="641"/>
                <w:rFonts w:hint="eastAsia" w:ascii="仿宋" w:hAnsi="仿宋" w:eastAsia="仿宋" w:cs="宋体"/>
                <w:color w:val="auto"/>
                <w:sz w:val="24"/>
                <w:szCs w:val="24"/>
                <w:highlight w:val="none"/>
                <w:lang w:val="ja-JP" w:eastAsia="zh-CN" w:bidi="ja-JP"/>
              </w:rPr>
              <w:t>人员培训合格</w:t>
            </w:r>
            <w:r>
              <w:rPr>
                <w:rStyle w:val="641"/>
                <w:rFonts w:hint="eastAsia" w:ascii="仿宋" w:hAnsi="仿宋" w:eastAsia="仿宋" w:cs="宋体"/>
                <w:color w:val="auto"/>
                <w:sz w:val="24"/>
                <w:szCs w:val="24"/>
                <w:highlight w:val="none"/>
                <w:lang w:val="ja-JP" w:eastAsia="ja-JP" w:bidi="ja-JP"/>
              </w:rPr>
              <w:t>证书</w:t>
            </w:r>
            <w:r>
              <w:rPr>
                <w:rStyle w:val="641"/>
                <w:rFonts w:hint="eastAsia" w:ascii="仿宋" w:hAnsi="仿宋" w:eastAsia="仿宋" w:cs="宋体"/>
                <w:color w:val="auto"/>
                <w:sz w:val="24"/>
                <w:szCs w:val="24"/>
                <w:highlight w:val="none"/>
                <w:lang w:val="ja-JP" w:eastAsia="zh-CN" w:bidi="ja-JP"/>
              </w:rPr>
              <w:t>等证明资料</w:t>
            </w:r>
            <w:r>
              <w:rPr>
                <w:rStyle w:val="641"/>
                <w:rFonts w:hint="eastAsia" w:ascii="仿宋" w:hAnsi="仿宋" w:eastAsia="仿宋" w:cs="宋体"/>
                <w:color w:val="auto"/>
                <w:sz w:val="24"/>
                <w:szCs w:val="24"/>
                <w:highlight w:val="none"/>
                <w:lang w:val="ja-JP" w:eastAsia="ja-JP" w:bidi="ja-JP"/>
              </w:rPr>
              <w:t>和</w:t>
            </w:r>
            <w:r>
              <w:rPr>
                <w:rFonts w:hint="eastAsia" w:ascii="仿宋" w:hAnsi="仿宋" w:eastAsia="仿宋" w:cs="仿宋"/>
                <w:color w:val="auto"/>
                <w:sz w:val="24"/>
                <w:highlight w:val="none"/>
              </w:rPr>
              <w:t>提供由社保部门出具的</w:t>
            </w:r>
            <w:r>
              <w:rPr>
                <w:rFonts w:hint="eastAsia" w:ascii="仿宋" w:hAnsi="仿宋" w:eastAsia="仿宋" w:cs="仿宋"/>
                <w:color w:val="auto"/>
                <w:sz w:val="24"/>
                <w:highlight w:val="none"/>
                <w:lang w:val="en-US" w:eastAsia="zh-CN"/>
              </w:rPr>
              <w:t>交易</w:t>
            </w:r>
            <w:r>
              <w:rPr>
                <w:rFonts w:hint="eastAsia" w:ascii="仿宋" w:hAnsi="仿宋" w:eastAsia="仿宋" w:cs="仿宋"/>
                <w:color w:val="auto"/>
                <w:sz w:val="24"/>
                <w:highlight w:val="none"/>
              </w:rPr>
              <w:t>公告前由本单位缴纳的近三个月任意一个月的社保证明。</w:t>
            </w:r>
          </w:p>
        </w:tc>
        <w:tc>
          <w:tcPr>
            <w:tcW w:w="1015" w:type="dxa"/>
            <w:tcBorders>
              <w:top w:val="nil"/>
              <w:left w:val="nil"/>
              <w:bottom w:val="single" w:color="auto" w:sz="4" w:space="0"/>
              <w:right w:val="single" w:color="auto" w:sz="8" w:space="0"/>
            </w:tcBorders>
            <w:shd w:val="clear" w:color="auto" w:fill="auto"/>
            <w:vAlign w:val="center"/>
          </w:tcPr>
          <w:p w14:paraId="2DFB2729">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en-US" w:eastAsia="zh-CN" w:bidi="ja-JP"/>
              </w:rPr>
              <w:t>8</w:t>
            </w:r>
            <w:r>
              <w:rPr>
                <w:rStyle w:val="641"/>
                <w:rFonts w:hint="eastAsia" w:ascii="仿宋" w:hAnsi="仿宋" w:eastAsia="仿宋" w:cs="宋体"/>
                <w:color w:val="auto"/>
                <w:sz w:val="24"/>
                <w:szCs w:val="24"/>
                <w:highlight w:val="none"/>
                <w:lang w:val="ja-JP" w:eastAsia="ja-JP" w:bidi="ja-JP"/>
              </w:rPr>
              <w:t>分</w:t>
            </w:r>
          </w:p>
        </w:tc>
        <w:tc>
          <w:tcPr>
            <w:tcW w:w="1193" w:type="dxa"/>
            <w:tcBorders>
              <w:top w:val="nil"/>
              <w:left w:val="nil"/>
              <w:bottom w:val="single" w:color="auto" w:sz="4" w:space="0"/>
              <w:right w:val="single" w:color="auto" w:sz="8" w:space="0"/>
            </w:tcBorders>
            <w:shd w:val="clear" w:color="auto" w:fill="auto"/>
            <w:vAlign w:val="center"/>
          </w:tcPr>
          <w:p w14:paraId="3AE26708">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客观分</w:t>
            </w:r>
          </w:p>
        </w:tc>
      </w:tr>
      <w:tr w14:paraId="32BD323E">
        <w:tblPrEx>
          <w:tblCellMar>
            <w:top w:w="0" w:type="dxa"/>
            <w:left w:w="108" w:type="dxa"/>
            <w:bottom w:w="0" w:type="dxa"/>
            <w:right w:w="108" w:type="dxa"/>
          </w:tblCellMar>
        </w:tblPrEx>
        <w:trPr>
          <w:trHeight w:val="615" w:hRule="atLeast"/>
        </w:trPr>
        <w:tc>
          <w:tcPr>
            <w:tcW w:w="828" w:type="dxa"/>
            <w:vMerge w:val="continue"/>
            <w:tcBorders>
              <w:top w:val="nil"/>
              <w:left w:val="single" w:color="auto" w:sz="4" w:space="0"/>
              <w:bottom w:val="single" w:color="000000" w:sz="8" w:space="0"/>
              <w:right w:val="single" w:color="auto" w:sz="4" w:space="0"/>
            </w:tcBorders>
            <w:vAlign w:val="center"/>
          </w:tcPr>
          <w:p w14:paraId="42138BBD">
            <w:pPr>
              <w:widowControl/>
              <w:adjustRightInd/>
              <w:jc w:val="left"/>
              <w:rPr>
                <w:rFonts w:ascii="仿宋" w:hAnsi="仿宋" w:eastAsia="仿宋" w:cs="仿宋"/>
                <w:color w:val="auto"/>
                <w:kern w:val="0"/>
                <w:sz w:val="24"/>
                <w:highlight w:val="none"/>
              </w:rPr>
            </w:pPr>
          </w:p>
        </w:tc>
        <w:tc>
          <w:tcPr>
            <w:tcW w:w="528" w:type="dxa"/>
            <w:tcBorders>
              <w:top w:val="nil"/>
              <w:left w:val="single" w:color="auto" w:sz="8" w:space="0"/>
              <w:bottom w:val="single" w:color="auto" w:sz="4" w:space="0"/>
              <w:right w:val="single" w:color="auto" w:sz="4" w:space="0"/>
            </w:tcBorders>
            <w:shd w:val="clear" w:color="auto" w:fill="auto"/>
            <w:vAlign w:val="center"/>
          </w:tcPr>
          <w:p w14:paraId="548A4484">
            <w:pPr>
              <w:pStyle w:val="640"/>
              <w:jc w:val="center"/>
              <w:rPr>
                <w:rFonts w:ascii="仿宋" w:hAnsi="仿宋" w:eastAsia="仿宋" w:cs="仿宋"/>
                <w:color w:val="auto"/>
                <w:sz w:val="24"/>
                <w:highlight w:val="none"/>
              </w:rPr>
            </w:pPr>
            <w:r>
              <w:rPr>
                <w:rStyle w:val="641"/>
                <w:rFonts w:hint="eastAsia" w:ascii="宋体" w:hAnsi="宋体" w:eastAsia="宋体" w:cs="宋体"/>
                <w:color w:val="auto"/>
                <w:sz w:val="24"/>
                <w:szCs w:val="24"/>
                <w:highlight w:val="none"/>
                <w:lang w:eastAsia="zh-CN"/>
              </w:rPr>
              <w:t>6</w:t>
            </w:r>
          </w:p>
        </w:tc>
        <w:tc>
          <w:tcPr>
            <w:tcW w:w="6252" w:type="dxa"/>
            <w:tcBorders>
              <w:top w:val="nil"/>
              <w:left w:val="nil"/>
              <w:bottom w:val="single" w:color="auto" w:sz="4" w:space="0"/>
              <w:right w:val="single" w:color="auto" w:sz="4" w:space="0"/>
            </w:tcBorders>
            <w:shd w:val="clear" w:color="auto" w:fill="auto"/>
            <w:vAlign w:val="bottom"/>
          </w:tcPr>
          <w:p w14:paraId="5280256C">
            <w:pPr>
              <w:pStyle w:val="640"/>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对本项目的合理化建议,针对本项目管理方案等综合评定对比打分</w:t>
            </w:r>
            <w:r>
              <w:rPr>
                <w:rStyle w:val="641"/>
                <w:rFonts w:hint="eastAsia" w:ascii="仿宋" w:hAnsi="仿宋" w:eastAsia="仿宋" w:cs="宋体"/>
                <w:color w:val="auto"/>
                <w:sz w:val="24"/>
                <w:szCs w:val="24"/>
                <w:highlight w:val="none"/>
                <w:lang w:val="ja-JP" w:eastAsia="zh-CN" w:bidi="ja-JP"/>
              </w:rPr>
              <w:t>。</w:t>
            </w:r>
            <w:r>
              <w:rPr>
                <w:rStyle w:val="641"/>
                <w:rFonts w:hint="eastAsia" w:ascii="仿宋" w:hAnsi="仿宋" w:eastAsia="仿宋" w:cs="宋体"/>
                <w:color w:val="auto"/>
                <w:sz w:val="24"/>
                <w:szCs w:val="24"/>
                <w:highlight w:val="none"/>
                <w:lang w:val="ja-JP" w:eastAsia="ja-JP" w:bidi="ja-JP"/>
              </w:rPr>
              <w:t>(完善的得4-6分,较完善的得2-4分,不够完善的得0-2分。)</w:t>
            </w:r>
          </w:p>
        </w:tc>
        <w:tc>
          <w:tcPr>
            <w:tcW w:w="1015" w:type="dxa"/>
            <w:tcBorders>
              <w:top w:val="nil"/>
              <w:left w:val="nil"/>
              <w:bottom w:val="single" w:color="auto" w:sz="4" w:space="0"/>
              <w:right w:val="single" w:color="auto" w:sz="8" w:space="0"/>
            </w:tcBorders>
            <w:shd w:val="clear" w:color="auto" w:fill="auto"/>
            <w:vAlign w:val="center"/>
          </w:tcPr>
          <w:p w14:paraId="1FFB4F60">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zh-CN" w:bidi="ja-JP"/>
              </w:rPr>
              <w:t>6</w:t>
            </w:r>
            <w:r>
              <w:rPr>
                <w:rStyle w:val="641"/>
                <w:rFonts w:hint="eastAsia" w:ascii="仿宋" w:hAnsi="仿宋" w:eastAsia="仿宋" w:cs="宋体"/>
                <w:color w:val="auto"/>
                <w:sz w:val="24"/>
                <w:szCs w:val="24"/>
                <w:highlight w:val="none"/>
                <w:lang w:val="ja-JP" w:eastAsia="ja-JP" w:bidi="ja-JP"/>
              </w:rPr>
              <w:t>分</w:t>
            </w:r>
          </w:p>
        </w:tc>
        <w:tc>
          <w:tcPr>
            <w:tcW w:w="1193" w:type="dxa"/>
            <w:tcBorders>
              <w:top w:val="nil"/>
              <w:left w:val="nil"/>
              <w:bottom w:val="single" w:color="auto" w:sz="4" w:space="0"/>
              <w:right w:val="single" w:color="auto" w:sz="8" w:space="0"/>
            </w:tcBorders>
            <w:shd w:val="clear" w:color="auto" w:fill="auto"/>
            <w:vAlign w:val="center"/>
          </w:tcPr>
          <w:p w14:paraId="63E294C2">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主观分</w:t>
            </w:r>
          </w:p>
        </w:tc>
      </w:tr>
      <w:tr w14:paraId="5C2CA35C">
        <w:tblPrEx>
          <w:tblCellMar>
            <w:top w:w="0" w:type="dxa"/>
            <w:left w:w="108" w:type="dxa"/>
            <w:bottom w:w="0" w:type="dxa"/>
            <w:right w:w="108" w:type="dxa"/>
          </w:tblCellMar>
        </w:tblPrEx>
        <w:trPr>
          <w:trHeight w:val="615" w:hRule="atLeast"/>
        </w:trPr>
        <w:tc>
          <w:tcPr>
            <w:tcW w:w="828" w:type="dxa"/>
            <w:vMerge w:val="continue"/>
            <w:tcBorders>
              <w:top w:val="nil"/>
              <w:left w:val="single" w:color="auto" w:sz="4" w:space="0"/>
              <w:bottom w:val="single" w:color="000000" w:sz="8" w:space="0"/>
              <w:right w:val="single" w:color="auto" w:sz="4" w:space="0"/>
            </w:tcBorders>
            <w:vAlign w:val="center"/>
          </w:tcPr>
          <w:p w14:paraId="1ACD39D3">
            <w:pPr>
              <w:widowControl/>
              <w:adjustRightInd/>
              <w:jc w:val="left"/>
              <w:rPr>
                <w:rFonts w:ascii="仿宋" w:hAnsi="仿宋" w:eastAsia="仿宋" w:cs="仿宋"/>
                <w:color w:val="auto"/>
                <w:kern w:val="0"/>
                <w:sz w:val="24"/>
                <w:highlight w:val="none"/>
              </w:rPr>
            </w:pPr>
          </w:p>
        </w:tc>
        <w:tc>
          <w:tcPr>
            <w:tcW w:w="528" w:type="dxa"/>
            <w:tcBorders>
              <w:top w:val="nil"/>
              <w:left w:val="single" w:color="auto" w:sz="8" w:space="0"/>
              <w:bottom w:val="single" w:color="auto" w:sz="4" w:space="0"/>
              <w:right w:val="single" w:color="auto" w:sz="4" w:space="0"/>
            </w:tcBorders>
            <w:shd w:val="clear" w:color="auto" w:fill="auto"/>
            <w:vAlign w:val="center"/>
          </w:tcPr>
          <w:p w14:paraId="74EACD53">
            <w:pPr>
              <w:pStyle w:val="640"/>
              <w:jc w:val="center"/>
              <w:rPr>
                <w:rFonts w:ascii="仿宋" w:hAnsi="仿宋" w:eastAsia="仿宋" w:cs="仿宋"/>
                <w:color w:val="auto"/>
                <w:sz w:val="24"/>
                <w:highlight w:val="none"/>
              </w:rPr>
            </w:pPr>
            <w:r>
              <w:rPr>
                <w:rStyle w:val="641"/>
                <w:rFonts w:hint="eastAsia" w:ascii="宋体" w:hAnsi="宋体" w:eastAsia="宋体" w:cs="宋体"/>
                <w:color w:val="auto"/>
                <w:sz w:val="24"/>
                <w:szCs w:val="24"/>
                <w:highlight w:val="none"/>
              </w:rPr>
              <w:t>7</w:t>
            </w:r>
          </w:p>
        </w:tc>
        <w:tc>
          <w:tcPr>
            <w:tcW w:w="6252" w:type="dxa"/>
            <w:tcBorders>
              <w:top w:val="nil"/>
              <w:left w:val="nil"/>
              <w:bottom w:val="single" w:color="auto" w:sz="4" w:space="0"/>
              <w:right w:val="single" w:color="auto" w:sz="4" w:space="0"/>
            </w:tcBorders>
            <w:shd w:val="clear" w:color="auto" w:fill="auto"/>
            <w:vAlign w:val="top"/>
          </w:tcPr>
          <w:p w14:paraId="0A64D234">
            <w:pPr>
              <w:pStyle w:val="640"/>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服务质量保证情况</w:t>
            </w:r>
            <w:r>
              <w:rPr>
                <w:rStyle w:val="641"/>
                <w:rFonts w:hint="eastAsia" w:ascii="仿宋" w:hAnsi="仿宋" w:eastAsia="仿宋" w:cs="宋体"/>
                <w:color w:val="auto"/>
                <w:sz w:val="24"/>
                <w:szCs w:val="24"/>
                <w:highlight w:val="none"/>
                <w:lang w:val="ja-JP" w:eastAsia="zh-CN" w:bidi="ja-JP"/>
              </w:rPr>
              <w:t>（</w:t>
            </w:r>
            <w:r>
              <w:rPr>
                <w:rStyle w:val="641"/>
                <w:rFonts w:hint="eastAsia" w:ascii="仿宋" w:hAnsi="仿宋" w:eastAsia="仿宋" w:cs="宋体"/>
                <w:color w:val="auto"/>
                <w:sz w:val="24"/>
                <w:szCs w:val="24"/>
                <w:highlight w:val="none"/>
                <w:lang w:val="ja-JP" w:eastAsia="ja-JP" w:bidi="ja-JP"/>
              </w:rPr>
              <w:t>根据质量管理目标的定位准确性和针对性，项目质量管理体系、制度是否健全完善,工作的质量的保障措施是否合理等情况综合评定对比打分</w:t>
            </w:r>
            <w:r>
              <w:rPr>
                <w:rStyle w:val="641"/>
                <w:rFonts w:hint="eastAsia" w:ascii="仿宋" w:hAnsi="仿宋" w:eastAsia="仿宋" w:cs="宋体"/>
                <w:color w:val="auto"/>
                <w:sz w:val="24"/>
                <w:szCs w:val="24"/>
                <w:highlight w:val="none"/>
                <w:lang w:val="ja-JP" w:eastAsia="zh-CN" w:bidi="ja-JP"/>
              </w:rPr>
              <w:t>）</w:t>
            </w:r>
            <w:r>
              <w:rPr>
                <w:rStyle w:val="641"/>
                <w:rFonts w:hint="eastAsia" w:ascii="仿宋" w:hAnsi="仿宋" w:eastAsia="仿宋" w:cs="宋体"/>
                <w:color w:val="auto"/>
                <w:sz w:val="24"/>
                <w:szCs w:val="24"/>
                <w:highlight w:val="none"/>
                <w:lang w:val="ja-JP" w:eastAsia="ja-JP" w:bidi="ja-JP"/>
              </w:rPr>
              <w:t>(完善的得6-8分,较完善的得3-6分,不够完善的得0-3分。)</w:t>
            </w:r>
          </w:p>
        </w:tc>
        <w:tc>
          <w:tcPr>
            <w:tcW w:w="1015" w:type="dxa"/>
            <w:tcBorders>
              <w:top w:val="nil"/>
              <w:left w:val="nil"/>
              <w:bottom w:val="single" w:color="auto" w:sz="4" w:space="0"/>
              <w:right w:val="single" w:color="auto" w:sz="8" w:space="0"/>
            </w:tcBorders>
            <w:shd w:val="clear" w:color="auto" w:fill="auto"/>
            <w:vAlign w:val="center"/>
          </w:tcPr>
          <w:p w14:paraId="3134DB88">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zh-CN" w:bidi="ja-JP"/>
              </w:rPr>
              <w:t>8</w:t>
            </w:r>
            <w:r>
              <w:rPr>
                <w:rStyle w:val="641"/>
                <w:rFonts w:hint="eastAsia" w:ascii="仿宋" w:hAnsi="仿宋" w:eastAsia="仿宋" w:cs="宋体"/>
                <w:color w:val="auto"/>
                <w:sz w:val="24"/>
                <w:szCs w:val="24"/>
                <w:highlight w:val="none"/>
                <w:lang w:val="ja-JP" w:eastAsia="ja-JP" w:bidi="ja-JP"/>
              </w:rPr>
              <w:t>分</w:t>
            </w:r>
          </w:p>
        </w:tc>
        <w:tc>
          <w:tcPr>
            <w:tcW w:w="1193" w:type="dxa"/>
            <w:tcBorders>
              <w:top w:val="nil"/>
              <w:left w:val="nil"/>
              <w:bottom w:val="single" w:color="auto" w:sz="4" w:space="0"/>
              <w:right w:val="single" w:color="auto" w:sz="8" w:space="0"/>
            </w:tcBorders>
            <w:shd w:val="clear" w:color="auto" w:fill="auto"/>
            <w:vAlign w:val="center"/>
          </w:tcPr>
          <w:p w14:paraId="21E8E790">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主观分</w:t>
            </w:r>
          </w:p>
        </w:tc>
      </w:tr>
      <w:tr w14:paraId="1C141AF8">
        <w:tblPrEx>
          <w:tblCellMar>
            <w:top w:w="0" w:type="dxa"/>
            <w:left w:w="108" w:type="dxa"/>
            <w:bottom w:w="0" w:type="dxa"/>
            <w:right w:w="108" w:type="dxa"/>
          </w:tblCellMar>
        </w:tblPrEx>
        <w:trPr>
          <w:trHeight w:val="847" w:hRule="atLeast"/>
        </w:trPr>
        <w:tc>
          <w:tcPr>
            <w:tcW w:w="828" w:type="dxa"/>
            <w:vMerge w:val="continue"/>
            <w:tcBorders>
              <w:top w:val="nil"/>
              <w:left w:val="single" w:color="auto" w:sz="4" w:space="0"/>
              <w:bottom w:val="nil"/>
              <w:right w:val="single" w:color="auto" w:sz="4" w:space="0"/>
            </w:tcBorders>
            <w:vAlign w:val="center"/>
          </w:tcPr>
          <w:p w14:paraId="7E8BCB66">
            <w:pPr>
              <w:widowControl/>
              <w:adjustRightInd/>
              <w:jc w:val="left"/>
              <w:rPr>
                <w:rFonts w:ascii="仿宋" w:hAnsi="仿宋" w:eastAsia="仿宋" w:cs="仿宋"/>
                <w:color w:val="auto"/>
                <w:kern w:val="0"/>
                <w:sz w:val="24"/>
                <w:highlight w:val="none"/>
              </w:rPr>
            </w:pPr>
          </w:p>
        </w:tc>
        <w:tc>
          <w:tcPr>
            <w:tcW w:w="528" w:type="dxa"/>
            <w:tcBorders>
              <w:top w:val="nil"/>
              <w:left w:val="single" w:color="auto" w:sz="8" w:space="0"/>
              <w:bottom w:val="single" w:color="auto" w:sz="4" w:space="0"/>
              <w:right w:val="single" w:color="auto" w:sz="4" w:space="0"/>
            </w:tcBorders>
            <w:shd w:val="clear" w:color="auto" w:fill="auto"/>
            <w:vAlign w:val="center"/>
          </w:tcPr>
          <w:p w14:paraId="1A423A37">
            <w:pPr>
              <w:pStyle w:val="640"/>
              <w:jc w:val="center"/>
              <w:rPr>
                <w:rFonts w:ascii="仿宋" w:hAnsi="仿宋" w:eastAsia="仿宋" w:cs="仿宋"/>
                <w:color w:val="auto"/>
                <w:sz w:val="24"/>
                <w:highlight w:val="none"/>
              </w:rPr>
            </w:pPr>
            <w:r>
              <w:rPr>
                <w:rStyle w:val="641"/>
                <w:rFonts w:hint="eastAsia" w:ascii="宋体" w:hAnsi="宋体" w:eastAsia="宋体" w:cs="宋体"/>
                <w:color w:val="auto"/>
                <w:sz w:val="24"/>
                <w:szCs w:val="24"/>
                <w:highlight w:val="none"/>
              </w:rPr>
              <w:t>8</w:t>
            </w:r>
          </w:p>
        </w:tc>
        <w:tc>
          <w:tcPr>
            <w:tcW w:w="6252" w:type="dxa"/>
            <w:tcBorders>
              <w:top w:val="nil"/>
              <w:left w:val="nil"/>
              <w:bottom w:val="single" w:color="auto" w:sz="4" w:space="0"/>
              <w:right w:val="single" w:color="auto" w:sz="4" w:space="0"/>
            </w:tcBorders>
            <w:shd w:val="clear" w:color="auto" w:fill="auto"/>
            <w:vAlign w:val="bottom"/>
          </w:tcPr>
          <w:p w14:paraId="680C2A42">
            <w:pPr>
              <w:pStyle w:val="640"/>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服务承诺</w:t>
            </w:r>
            <w:r>
              <w:rPr>
                <w:rStyle w:val="641"/>
                <w:rFonts w:hint="eastAsia" w:ascii="仿宋" w:hAnsi="仿宋" w:eastAsia="仿宋" w:cs="宋体"/>
                <w:color w:val="auto"/>
                <w:sz w:val="24"/>
                <w:szCs w:val="24"/>
                <w:highlight w:val="none"/>
                <w:lang w:val="ja-JP" w:eastAsia="zh-CN" w:bidi="ja-JP"/>
              </w:rPr>
              <w:t>，</w:t>
            </w:r>
            <w:r>
              <w:rPr>
                <w:rStyle w:val="641"/>
                <w:rFonts w:hint="eastAsia" w:ascii="仿宋" w:hAnsi="仿宋" w:eastAsia="仿宋" w:cs="宋体"/>
                <w:color w:val="auto"/>
                <w:sz w:val="24"/>
                <w:szCs w:val="24"/>
                <w:highlight w:val="none"/>
                <w:lang w:val="ja-JP" w:eastAsia="ja-JP" w:bidi="ja-JP"/>
              </w:rPr>
              <w:t>根据服务方案、措施、响应及本地化服务能力等情况综合评定打分</w:t>
            </w:r>
            <w:r>
              <w:rPr>
                <w:rStyle w:val="641"/>
                <w:rFonts w:hint="eastAsia" w:ascii="仿宋" w:hAnsi="仿宋" w:eastAsia="仿宋" w:cs="宋体"/>
                <w:color w:val="auto"/>
                <w:sz w:val="24"/>
                <w:szCs w:val="24"/>
                <w:highlight w:val="none"/>
                <w:lang w:val="ja-JP" w:eastAsia="zh-CN" w:bidi="ja-JP"/>
              </w:rPr>
              <w:t>。</w:t>
            </w:r>
            <w:r>
              <w:rPr>
                <w:rStyle w:val="641"/>
                <w:rFonts w:hint="eastAsia" w:ascii="仿宋" w:hAnsi="仿宋" w:eastAsia="仿宋" w:cs="宋体"/>
                <w:color w:val="auto"/>
                <w:sz w:val="24"/>
                <w:szCs w:val="24"/>
                <w:highlight w:val="none"/>
                <w:lang w:val="ja-JP" w:eastAsia="ja-JP" w:bidi="ja-JP"/>
              </w:rPr>
              <w:t>(完善的得4-6分,较完善的得2-4分,不够完善的得0-2分。)</w:t>
            </w:r>
          </w:p>
        </w:tc>
        <w:tc>
          <w:tcPr>
            <w:tcW w:w="1015" w:type="dxa"/>
            <w:tcBorders>
              <w:top w:val="nil"/>
              <w:left w:val="nil"/>
              <w:bottom w:val="single" w:color="auto" w:sz="4" w:space="0"/>
              <w:right w:val="single" w:color="auto" w:sz="8" w:space="0"/>
            </w:tcBorders>
            <w:shd w:val="clear" w:color="auto" w:fill="auto"/>
            <w:vAlign w:val="center"/>
          </w:tcPr>
          <w:p w14:paraId="556C4420">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zh-CN" w:bidi="ja-JP"/>
              </w:rPr>
              <w:t>6</w:t>
            </w:r>
            <w:r>
              <w:rPr>
                <w:rStyle w:val="641"/>
                <w:rFonts w:hint="eastAsia" w:ascii="仿宋" w:hAnsi="仿宋" w:eastAsia="仿宋" w:cs="宋体"/>
                <w:color w:val="auto"/>
                <w:sz w:val="24"/>
                <w:szCs w:val="24"/>
                <w:highlight w:val="none"/>
                <w:lang w:val="ja-JP" w:eastAsia="ja-JP" w:bidi="ja-JP"/>
              </w:rPr>
              <w:t>分</w:t>
            </w:r>
          </w:p>
        </w:tc>
        <w:tc>
          <w:tcPr>
            <w:tcW w:w="1193" w:type="dxa"/>
            <w:tcBorders>
              <w:top w:val="nil"/>
              <w:left w:val="nil"/>
              <w:bottom w:val="single" w:color="auto" w:sz="4" w:space="0"/>
              <w:right w:val="single" w:color="auto" w:sz="8" w:space="0"/>
            </w:tcBorders>
            <w:shd w:val="clear" w:color="auto" w:fill="auto"/>
            <w:vAlign w:val="center"/>
          </w:tcPr>
          <w:p w14:paraId="6A368775">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主观分</w:t>
            </w:r>
          </w:p>
        </w:tc>
      </w:tr>
      <w:tr w14:paraId="4E366FD2">
        <w:tblPrEx>
          <w:tblCellMar>
            <w:top w:w="0" w:type="dxa"/>
            <w:left w:w="108" w:type="dxa"/>
            <w:bottom w:w="0" w:type="dxa"/>
            <w:right w:w="108" w:type="dxa"/>
          </w:tblCellMar>
        </w:tblPrEx>
        <w:trPr>
          <w:trHeight w:val="615" w:hRule="atLeast"/>
        </w:trPr>
        <w:tc>
          <w:tcPr>
            <w:tcW w:w="828" w:type="dxa"/>
            <w:vMerge w:val="restart"/>
            <w:tcBorders>
              <w:top w:val="nil"/>
              <w:left w:val="single" w:color="auto" w:sz="4" w:space="0"/>
              <w:bottom w:val="single" w:color="auto" w:sz="4" w:space="0"/>
              <w:right w:val="single" w:color="auto" w:sz="4" w:space="0"/>
            </w:tcBorders>
            <w:vAlign w:val="center"/>
          </w:tcPr>
          <w:p w14:paraId="66E86958">
            <w:pPr>
              <w:widowControl/>
              <w:adjustRightInd/>
              <w:jc w:val="left"/>
              <w:rPr>
                <w:rFonts w:ascii="仿宋" w:hAnsi="仿宋" w:eastAsia="仿宋" w:cs="仿宋"/>
                <w:color w:val="auto"/>
                <w:kern w:val="0"/>
                <w:sz w:val="24"/>
                <w:highlight w:val="none"/>
              </w:rPr>
            </w:pPr>
          </w:p>
        </w:tc>
        <w:tc>
          <w:tcPr>
            <w:tcW w:w="528" w:type="dxa"/>
            <w:tcBorders>
              <w:top w:val="single" w:color="auto" w:sz="4" w:space="0"/>
              <w:left w:val="single" w:color="auto" w:sz="8" w:space="0"/>
              <w:bottom w:val="single" w:color="auto" w:sz="4" w:space="0"/>
              <w:right w:val="single" w:color="auto" w:sz="4" w:space="0"/>
            </w:tcBorders>
            <w:shd w:val="clear" w:color="auto" w:fill="auto"/>
            <w:vAlign w:val="center"/>
          </w:tcPr>
          <w:p w14:paraId="38A1AC03">
            <w:pPr>
              <w:pStyle w:val="640"/>
              <w:jc w:val="center"/>
              <w:rPr>
                <w:rFonts w:ascii="仿宋" w:hAnsi="仿宋" w:eastAsia="仿宋" w:cs="仿宋"/>
                <w:color w:val="auto"/>
                <w:sz w:val="24"/>
                <w:highlight w:val="none"/>
              </w:rPr>
            </w:pPr>
            <w:r>
              <w:rPr>
                <w:rStyle w:val="641"/>
                <w:rFonts w:hint="eastAsia" w:ascii="宋体" w:hAnsi="宋体" w:eastAsia="宋体" w:cs="宋体"/>
                <w:color w:val="auto"/>
                <w:sz w:val="24"/>
                <w:szCs w:val="24"/>
                <w:highlight w:val="none"/>
              </w:rPr>
              <w:t>9</w:t>
            </w:r>
          </w:p>
        </w:tc>
        <w:tc>
          <w:tcPr>
            <w:tcW w:w="6252" w:type="dxa"/>
            <w:tcBorders>
              <w:top w:val="single" w:color="auto" w:sz="4" w:space="0"/>
              <w:left w:val="nil"/>
              <w:bottom w:val="single" w:color="auto" w:sz="4" w:space="0"/>
              <w:right w:val="single" w:color="auto" w:sz="4" w:space="0"/>
            </w:tcBorders>
            <w:shd w:val="clear" w:color="auto" w:fill="auto"/>
            <w:vAlign w:val="top"/>
          </w:tcPr>
          <w:p w14:paraId="328A5FA0">
            <w:pPr>
              <w:pStyle w:val="640"/>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对</w:t>
            </w:r>
            <w:r>
              <w:rPr>
                <w:rStyle w:val="641"/>
                <w:rFonts w:hint="eastAsia" w:ascii="仿宋" w:hAnsi="仿宋" w:eastAsia="仿宋" w:cs="宋体"/>
                <w:color w:val="auto"/>
                <w:sz w:val="24"/>
                <w:szCs w:val="24"/>
                <w:highlight w:val="none"/>
                <w:lang w:val="ja-JP" w:eastAsia="zh-CN" w:bidi="ja-JP"/>
              </w:rPr>
              <w:t>安全保证措施、</w:t>
            </w:r>
            <w:r>
              <w:rPr>
                <w:rStyle w:val="641"/>
                <w:rFonts w:hint="eastAsia" w:ascii="仿宋" w:hAnsi="仿宋" w:eastAsia="仿宋" w:cs="宋体"/>
                <w:color w:val="auto"/>
                <w:sz w:val="24"/>
                <w:szCs w:val="24"/>
                <w:highlight w:val="none"/>
                <w:lang w:val="ja-JP" w:eastAsia="ja-JP" w:bidi="ja-JP"/>
              </w:rPr>
              <w:t>突发事件管理方案和措施综合评定打分。(完善的得6-8 分,较完善的得3-6分,不够完善的得0-3分。)</w:t>
            </w:r>
          </w:p>
        </w:tc>
        <w:tc>
          <w:tcPr>
            <w:tcW w:w="1015" w:type="dxa"/>
            <w:tcBorders>
              <w:top w:val="single" w:color="auto" w:sz="4" w:space="0"/>
              <w:left w:val="nil"/>
              <w:bottom w:val="single" w:color="auto" w:sz="4" w:space="0"/>
              <w:right w:val="single" w:color="auto" w:sz="8" w:space="0"/>
            </w:tcBorders>
            <w:shd w:val="clear" w:color="auto" w:fill="auto"/>
            <w:vAlign w:val="center"/>
          </w:tcPr>
          <w:p w14:paraId="257ED36A">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8分</w:t>
            </w:r>
          </w:p>
        </w:tc>
        <w:tc>
          <w:tcPr>
            <w:tcW w:w="1193" w:type="dxa"/>
            <w:tcBorders>
              <w:top w:val="single" w:color="auto" w:sz="4" w:space="0"/>
              <w:left w:val="nil"/>
              <w:bottom w:val="single" w:color="auto" w:sz="4" w:space="0"/>
              <w:right w:val="single" w:color="auto" w:sz="8" w:space="0"/>
            </w:tcBorders>
            <w:shd w:val="clear" w:color="auto" w:fill="auto"/>
            <w:vAlign w:val="center"/>
          </w:tcPr>
          <w:p w14:paraId="6823C826">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主观分</w:t>
            </w:r>
          </w:p>
        </w:tc>
      </w:tr>
      <w:tr w14:paraId="5932E526">
        <w:tblPrEx>
          <w:tblCellMar>
            <w:top w:w="0" w:type="dxa"/>
            <w:left w:w="108" w:type="dxa"/>
            <w:bottom w:w="0" w:type="dxa"/>
            <w:right w:w="108" w:type="dxa"/>
          </w:tblCellMar>
        </w:tblPrEx>
        <w:trPr>
          <w:trHeight w:val="615" w:hRule="atLeast"/>
        </w:trPr>
        <w:tc>
          <w:tcPr>
            <w:tcW w:w="828" w:type="dxa"/>
            <w:vMerge w:val="continue"/>
            <w:tcBorders>
              <w:top w:val="single" w:color="auto" w:sz="4" w:space="0"/>
              <w:left w:val="single" w:color="auto" w:sz="4" w:space="0"/>
              <w:bottom w:val="single" w:color="auto" w:sz="4" w:space="0"/>
              <w:right w:val="single" w:color="auto" w:sz="4" w:space="0"/>
            </w:tcBorders>
            <w:vAlign w:val="center"/>
          </w:tcPr>
          <w:p w14:paraId="71AEC851">
            <w:pPr>
              <w:widowControl/>
              <w:adjustRightInd/>
              <w:jc w:val="left"/>
              <w:rPr>
                <w:rFonts w:ascii="仿宋" w:hAnsi="仿宋" w:eastAsia="仿宋" w:cs="仿宋"/>
                <w:color w:val="auto"/>
                <w:kern w:val="0"/>
                <w:sz w:val="24"/>
                <w:highlight w:val="none"/>
              </w:rPr>
            </w:pPr>
          </w:p>
        </w:tc>
        <w:tc>
          <w:tcPr>
            <w:tcW w:w="528" w:type="dxa"/>
            <w:tcBorders>
              <w:top w:val="single" w:color="auto" w:sz="4" w:space="0"/>
              <w:left w:val="single" w:color="auto" w:sz="8" w:space="0"/>
              <w:bottom w:val="single" w:color="auto" w:sz="8" w:space="0"/>
              <w:right w:val="single" w:color="auto" w:sz="4" w:space="0"/>
            </w:tcBorders>
            <w:shd w:val="clear" w:color="auto" w:fill="auto"/>
            <w:vAlign w:val="center"/>
          </w:tcPr>
          <w:p w14:paraId="6041D65D">
            <w:pPr>
              <w:pStyle w:val="640"/>
              <w:jc w:val="center"/>
              <w:rPr>
                <w:rFonts w:ascii="仿宋" w:hAnsi="仿宋" w:eastAsia="仿宋" w:cs="仿宋"/>
                <w:color w:val="auto"/>
                <w:sz w:val="24"/>
                <w:highlight w:val="none"/>
              </w:rPr>
            </w:pPr>
            <w:r>
              <w:rPr>
                <w:rStyle w:val="641"/>
                <w:rFonts w:hint="eastAsia" w:ascii="宋体" w:hAnsi="宋体" w:eastAsia="宋体" w:cs="宋体"/>
                <w:color w:val="auto"/>
                <w:sz w:val="24"/>
                <w:szCs w:val="24"/>
                <w:highlight w:val="none"/>
                <w:lang w:val="ja-JP" w:eastAsia="ja-JP" w:bidi="ja-JP"/>
              </w:rPr>
              <w:t>10</w:t>
            </w:r>
          </w:p>
        </w:tc>
        <w:tc>
          <w:tcPr>
            <w:tcW w:w="6252" w:type="dxa"/>
            <w:tcBorders>
              <w:top w:val="single" w:color="auto" w:sz="4" w:space="0"/>
              <w:left w:val="nil"/>
              <w:bottom w:val="single" w:color="auto" w:sz="8" w:space="0"/>
              <w:right w:val="single" w:color="auto" w:sz="4" w:space="0"/>
            </w:tcBorders>
            <w:shd w:val="clear" w:color="auto" w:fill="auto"/>
            <w:vAlign w:val="top"/>
          </w:tcPr>
          <w:p w14:paraId="653E17F6">
            <w:pPr>
              <w:pStyle w:val="640"/>
              <w:rPr>
                <w:rFonts w:ascii="仿宋" w:hAnsi="仿宋" w:eastAsia="仿宋" w:cs="仿宋"/>
                <w:color w:val="auto"/>
                <w:sz w:val="24"/>
                <w:highlight w:val="none"/>
              </w:rPr>
            </w:pPr>
            <w:r>
              <w:rPr>
                <w:rFonts w:ascii="仿宋" w:hAnsi="仿宋" w:eastAsia="仿宋" w:cs="宋体"/>
                <w:color w:val="auto"/>
                <w:sz w:val="24"/>
                <w:szCs w:val="24"/>
                <w:highlight w:val="none"/>
                <w:lang w:val="en-US" w:eastAsia="zh-CN" w:bidi="ja-JP"/>
              </w:rPr>
              <w:t>各监测</w:t>
            </w:r>
            <w:r>
              <w:rPr>
                <w:rFonts w:ascii="仿宋" w:hAnsi="仿宋" w:eastAsia="仿宋" w:cs="宋体"/>
                <w:color w:val="auto"/>
                <w:sz w:val="24"/>
                <w:szCs w:val="24"/>
                <w:highlight w:val="none"/>
                <w:lang w:val="ja-JP" w:eastAsia="zh-CN" w:bidi="ja-JP"/>
              </w:rPr>
              <w:t>工作</w:t>
            </w:r>
            <w:r>
              <w:rPr>
                <w:rFonts w:ascii="仿宋" w:hAnsi="仿宋" w:eastAsia="仿宋" w:cs="宋体"/>
                <w:color w:val="auto"/>
                <w:sz w:val="24"/>
                <w:szCs w:val="24"/>
                <w:highlight w:val="none"/>
                <w:lang w:val="en-US" w:eastAsia="zh-CN" w:bidi="ja-JP"/>
              </w:rPr>
              <w:t>方案是</w:t>
            </w:r>
            <w:r>
              <w:rPr>
                <w:rFonts w:ascii="仿宋" w:hAnsi="仿宋" w:eastAsia="仿宋" w:cs="宋体"/>
                <w:color w:val="auto"/>
                <w:sz w:val="24"/>
                <w:szCs w:val="24"/>
                <w:highlight w:val="none"/>
                <w:lang w:val="ja-JP" w:eastAsia="zh-CN" w:bidi="ja-JP"/>
              </w:rPr>
              <w:t>否</w:t>
            </w:r>
            <w:r>
              <w:rPr>
                <w:rFonts w:ascii="仿宋" w:hAnsi="仿宋" w:eastAsia="仿宋" w:cs="宋体"/>
                <w:color w:val="auto"/>
                <w:sz w:val="24"/>
                <w:szCs w:val="24"/>
                <w:highlight w:val="none"/>
                <w:lang w:val="en-US" w:eastAsia="zh-CN" w:bidi="ja-JP"/>
              </w:rPr>
              <w:t>思</w:t>
            </w:r>
            <w:r>
              <w:rPr>
                <w:rFonts w:ascii="仿宋" w:hAnsi="仿宋" w:eastAsia="仿宋" w:cs="宋体"/>
                <w:color w:val="auto"/>
                <w:sz w:val="24"/>
                <w:szCs w:val="24"/>
                <w:highlight w:val="none"/>
                <w:lang w:val="ja-JP" w:eastAsia="zh-CN" w:bidi="ja-JP"/>
              </w:rPr>
              <w:t>路</w:t>
            </w:r>
            <w:r>
              <w:rPr>
                <w:rFonts w:ascii="仿宋" w:hAnsi="仿宋" w:eastAsia="仿宋" w:cs="宋体"/>
                <w:color w:val="auto"/>
                <w:sz w:val="24"/>
                <w:szCs w:val="24"/>
                <w:highlight w:val="none"/>
                <w:lang w:val="en-US" w:eastAsia="zh-CN" w:bidi="ja-JP"/>
              </w:rPr>
              <w:t>清晰、</w:t>
            </w:r>
            <w:r>
              <w:rPr>
                <w:rFonts w:ascii="仿宋" w:hAnsi="仿宋" w:eastAsia="仿宋" w:cs="宋体"/>
                <w:color w:val="auto"/>
                <w:sz w:val="24"/>
                <w:szCs w:val="24"/>
                <w:highlight w:val="none"/>
                <w:lang w:val="ja-JP" w:eastAsia="zh-CN" w:bidi="ja-JP"/>
              </w:rPr>
              <w:t>合理可行,</w:t>
            </w:r>
            <w:r>
              <w:rPr>
                <w:rFonts w:ascii="仿宋" w:hAnsi="仿宋" w:eastAsia="仿宋" w:cs="宋体"/>
                <w:color w:val="auto"/>
                <w:sz w:val="24"/>
                <w:szCs w:val="24"/>
                <w:highlight w:val="none"/>
                <w:lang w:val="en-US" w:eastAsia="zh-CN" w:bidi="ja-JP"/>
              </w:rPr>
              <w:t>是</w:t>
            </w:r>
            <w:r>
              <w:rPr>
                <w:rFonts w:ascii="仿宋" w:hAnsi="仿宋" w:eastAsia="仿宋" w:cs="宋体"/>
                <w:color w:val="auto"/>
                <w:sz w:val="24"/>
                <w:szCs w:val="24"/>
                <w:highlight w:val="none"/>
                <w:lang w:val="ja-JP" w:eastAsia="zh-CN" w:bidi="ja-JP"/>
              </w:rPr>
              <w:t>否</w:t>
            </w:r>
            <w:r>
              <w:rPr>
                <w:rFonts w:ascii="仿宋" w:hAnsi="仿宋" w:eastAsia="仿宋" w:cs="宋体"/>
                <w:color w:val="auto"/>
                <w:sz w:val="24"/>
                <w:szCs w:val="24"/>
                <w:highlight w:val="none"/>
                <w:lang w:val="en-US" w:eastAsia="zh-CN" w:bidi="ja-JP"/>
              </w:rPr>
              <w:t>满足萧</w:t>
            </w:r>
            <w:r>
              <w:rPr>
                <w:rFonts w:ascii="仿宋" w:hAnsi="仿宋" w:eastAsia="仿宋" w:cs="宋体"/>
                <w:color w:val="auto"/>
                <w:sz w:val="24"/>
                <w:szCs w:val="24"/>
                <w:highlight w:val="none"/>
                <w:lang w:val="ja-JP" w:eastAsia="zh-CN" w:bidi="ja-JP"/>
              </w:rPr>
              <w:t>彩</w:t>
            </w:r>
            <w:r>
              <w:rPr>
                <w:rFonts w:ascii="仿宋" w:hAnsi="仿宋" w:eastAsia="仿宋" w:cs="宋体"/>
                <w:color w:val="auto"/>
                <w:sz w:val="24"/>
                <w:szCs w:val="24"/>
                <w:highlight w:val="none"/>
                <w:lang w:val="en-US" w:eastAsia="zh-CN" w:bidi="ja-JP"/>
              </w:rPr>
              <w:t>街公共人</w:t>
            </w:r>
            <w:r>
              <w:rPr>
                <w:rFonts w:ascii="仿宋" w:hAnsi="仿宋" w:eastAsia="仿宋" w:cs="宋体"/>
                <w:color w:val="auto"/>
                <w:sz w:val="24"/>
                <w:szCs w:val="24"/>
                <w:highlight w:val="none"/>
                <w:lang w:val="ja-JP" w:eastAsia="zh-CN" w:bidi="ja-JP"/>
              </w:rPr>
              <w:t>行天</w:t>
            </w:r>
            <w:r>
              <w:rPr>
                <w:rFonts w:ascii="仿宋" w:hAnsi="仿宋" w:eastAsia="仿宋" w:cs="宋体"/>
                <w:color w:val="auto"/>
                <w:sz w:val="24"/>
                <w:szCs w:val="24"/>
                <w:highlight w:val="none"/>
                <w:lang w:val="en-US" w:eastAsia="zh-CN" w:bidi="ja-JP"/>
              </w:rPr>
              <w:t>桥项目建设技术</w:t>
            </w:r>
            <w:r>
              <w:rPr>
                <w:rFonts w:ascii="仿宋" w:hAnsi="仿宋" w:eastAsia="仿宋" w:cs="宋体"/>
                <w:color w:val="auto"/>
                <w:sz w:val="24"/>
                <w:szCs w:val="24"/>
                <w:highlight w:val="none"/>
                <w:lang w:val="ja-JP" w:eastAsia="zh-CN" w:bidi="ja-JP"/>
              </w:rPr>
              <w:t>指南</w:t>
            </w:r>
            <w:r>
              <w:rPr>
                <w:rFonts w:ascii="仿宋" w:hAnsi="仿宋" w:eastAsia="仿宋" w:cs="宋体"/>
                <w:color w:val="auto"/>
                <w:sz w:val="24"/>
                <w:szCs w:val="24"/>
                <w:highlight w:val="none"/>
                <w:lang w:val="en-US" w:eastAsia="zh-CN" w:bidi="ja-JP"/>
              </w:rPr>
              <w:t>要求；相关监</w:t>
            </w:r>
            <w:r>
              <w:rPr>
                <w:rFonts w:hint="eastAsia" w:ascii="仿宋" w:hAnsi="仿宋" w:eastAsia="仿宋" w:cs="宋体"/>
                <w:color w:val="auto"/>
                <w:sz w:val="24"/>
                <w:szCs w:val="24"/>
                <w:highlight w:val="none"/>
                <w:lang w:val="en-US" w:eastAsia="zh-CN" w:bidi="ja-JP"/>
              </w:rPr>
              <w:t>控及试验</w:t>
            </w:r>
            <w:r>
              <w:rPr>
                <w:rFonts w:ascii="仿宋" w:hAnsi="仿宋" w:eastAsia="仿宋" w:cs="宋体"/>
                <w:color w:val="auto"/>
                <w:sz w:val="24"/>
                <w:szCs w:val="24"/>
                <w:highlight w:val="none"/>
                <w:lang w:val="ja-JP" w:eastAsia="zh-CN" w:bidi="ja-JP"/>
              </w:rPr>
              <w:t>工作</w:t>
            </w:r>
            <w:r>
              <w:rPr>
                <w:rFonts w:ascii="仿宋" w:hAnsi="仿宋" w:eastAsia="仿宋" w:cs="宋体"/>
                <w:color w:val="auto"/>
                <w:sz w:val="24"/>
                <w:szCs w:val="24"/>
                <w:highlight w:val="none"/>
                <w:lang w:val="en-US" w:eastAsia="zh-CN" w:bidi="ja-JP"/>
              </w:rPr>
              <w:t>重点难点分析等情</w:t>
            </w:r>
            <w:r>
              <w:rPr>
                <w:rFonts w:ascii="仿宋" w:hAnsi="仿宋" w:eastAsia="仿宋" w:cs="宋体"/>
                <w:color w:val="auto"/>
                <w:sz w:val="24"/>
                <w:szCs w:val="24"/>
                <w:highlight w:val="none"/>
                <w:lang w:val="ja-JP" w:eastAsia="zh-CN" w:bidi="ja-JP"/>
              </w:rPr>
              <w:t>况</w:t>
            </w:r>
            <w:r>
              <w:rPr>
                <w:rFonts w:ascii="仿宋" w:hAnsi="仿宋" w:eastAsia="仿宋" w:cs="宋体"/>
                <w:color w:val="auto"/>
                <w:sz w:val="24"/>
                <w:szCs w:val="24"/>
                <w:highlight w:val="none"/>
                <w:lang w:val="en-US" w:eastAsia="zh-CN" w:bidi="ja-JP"/>
              </w:rPr>
              <w:t>综合评定打分</w:t>
            </w:r>
            <w:r>
              <w:rPr>
                <w:rStyle w:val="641"/>
                <w:rFonts w:hint="eastAsia" w:ascii="仿宋" w:hAnsi="仿宋" w:eastAsia="仿宋" w:cs="宋体"/>
                <w:color w:val="auto"/>
                <w:sz w:val="24"/>
                <w:szCs w:val="24"/>
                <w:highlight w:val="none"/>
                <w:lang w:val="ja-JP" w:eastAsia="ja-JP" w:bidi="ja-JP"/>
              </w:rPr>
              <w:t>(完善的得</w:t>
            </w:r>
            <w:r>
              <w:rPr>
                <w:rStyle w:val="641"/>
                <w:rFonts w:hint="eastAsia" w:ascii="仿宋" w:hAnsi="仿宋" w:eastAsia="仿宋" w:cs="宋体"/>
                <w:color w:val="auto"/>
                <w:sz w:val="24"/>
                <w:szCs w:val="24"/>
                <w:highlight w:val="none"/>
                <w:lang w:val="ja-JP" w:eastAsia="zh-CN" w:bidi="ja-JP"/>
              </w:rPr>
              <w:t>6</w:t>
            </w:r>
            <w:r>
              <w:rPr>
                <w:rStyle w:val="641"/>
                <w:rFonts w:hint="eastAsia" w:ascii="仿宋" w:hAnsi="仿宋" w:eastAsia="仿宋" w:cs="宋体"/>
                <w:color w:val="auto"/>
                <w:sz w:val="24"/>
                <w:szCs w:val="24"/>
                <w:highlight w:val="none"/>
                <w:lang w:val="ja-JP" w:eastAsia="ja-JP" w:bidi="ja-JP"/>
              </w:rPr>
              <w:t>-</w:t>
            </w:r>
            <w:r>
              <w:rPr>
                <w:rStyle w:val="641"/>
                <w:rFonts w:hint="eastAsia" w:ascii="仿宋" w:hAnsi="仿宋" w:eastAsia="仿宋" w:cs="宋体"/>
                <w:color w:val="auto"/>
                <w:sz w:val="24"/>
                <w:szCs w:val="24"/>
                <w:highlight w:val="none"/>
                <w:lang w:val="ja-JP" w:eastAsia="zh-CN" w:bidi="ja-JP"/>
              </w:rPr>
              <w:t>8</w:t>
            </w:r>
            <w:r>
              <w:rPr>
                <w:rStyle w:val="641"/>
                <w:rFonts w:hint="eastAsia" w:ascii="仿宋" w:hAnsi="仿宋" w:eastAsia="仿宋" w:cs="宋体"/>
                <w:color w:val="auto"/>
                <w:sz w:val="24"/>
                <w:szCs w:val="24"/>
                <w:highlight w:val="none"/>
                <w:lang w:val="ja-JP" w:eastAsia="ja-JP" w:bidi="ja-JP"/>
              </w:rPr>
              <w:t>分,较完善的得</w:t>
            </w:r>
            <w:r>
              <w:rPr>
                <w:rStyle w:val="641"/>
                <w:rFonts w:hint="eastAsia" w:ascii="仿宋" w:hAnsi="仿宋" w:eastAsia="仿宋" w:cs="宋体"/>
                <w:color w:val="auto"/>
                <w:sz w:val="24"/>
                <w:szCs w:val="24"/>
                <w:highlight w:val="none"/>
                <w:lang w:val="ja-JP" w:eastAsia="zh-CN" w:bidi="ja-JP"/>
              </w:rPr>
              <w:t>3</w:t>
            </w:r>
            <w:r>
              <w:rPr>
                <w:rStyle w:val="641"/>
                <w:rFonts w:hint="eastAsia" w:ascii="仿宋" w:hAnsi="仿宋" w:eastAsia="仿宋" w:cs="宋体"/>
                <w:color w:val="auto"/>
                <w:sz w:val="24"/>
                <w:szCs w:val="24"/>
                <w:highlight w:val="none"/>
                <w:lang w:val="ja-JP" w:eastAsia="ja-JP" w:bidi="ja-JP"/>
              </w:rPr>
              <w:t>-</w:t>
            </w:r>
            <w:r>
              <w:rPr>
                <w:rStyle w:val="641"/>
                <w:rFonts w:hint="eastAsia" w:ascii="仿宋" w:hAnsi="仿宋" w:eastAsia="仿宋" w:cs="宋体"/>
                <w:color w:val="auto"/>
                <w:sz w:val="24"/>
                <w:szCs w:val="24"/>
                <w:highlight w:val="none"/>
                <w:lang w:val="ja-JP" w:eastAsia="zh-CN" w:bidi="ja-JP"/>
              </w:rPr>
              <w:t>6</w:t>
            </w:r>
            <w:r>
              <w:rPr>
                <w:rStyle w:val="641"/>
                <w:rFonts w:hint="eastAsia" w:ascii="仿宋" w:hAnsi="仿宋" w:eastAsia="仿宋" w:cs="宋体"/>
                <w:color w:val="auto"/>
                <w:sz w:val="24"/>
                <w:szCs w:val="24"/>
                <w:highlight w:val="none"/>
                <w:lang w:val="ja-JP" w:eastAsia="ja-JP" w:bidi="ja-JP"/>
              </w:rPr>
              <w:t>分,不够完善的得0-</w:t>
            </w:r>
            <w:r>
              <w:rPr>
                <w:rStyle w:val="641"/>
                <w:rFonts w:hint="eastAsia" w:ascii="仿宋" w:hAnsi="仿宋" w:eastAsia="仿宋" w:cs="宋体"/>
                <w:color w:val="auto"/>
                <w:sz w:val="24"/>
                <w:szCs w:val="24"/>
                <w:highlight w:val="none"/>
                <w:lang w:val="ja-JP" w:eastAsia="zh-CN" w:bidi="ja-JP"/>
              </w:rPr>
              <w:t>3</w:t>
            </w:r>
            <w:r>
              <w:rPr>
                <w:rStyle w:val="641"/>
                <w:rFonts w:hint="eastAsia" w:ascii="仿宋" w:hAnsi="仿宋" w:eastAsia="仿宋" w:cs="宋体"/>
                <w:color w:val="auto"/>
                <w:sz w:val="24"/>
                <w:szCs w:val="24"/>
                <w:highlight w:val="none"/>
                <w:lang w:val="ja-JP" w:eastAsia="ja-JP" w:bidi="ja-JP"/>
              </w:rPr>
              <w:t>分。)</w:t>
            </w:r>
          </w:p>
        </w:tc>
        <w:tc>
          <w:tcPr>
            <w:tcW w:w="1015" w:type="dxa"/>
            <w:tcBorders>
              <w:top w:val="single" w:color="auto" w:sz="4" w:space="0"/>
              <w:left w:val="nil"/>
              <w:bottom w:val="single" w:color="auto" w:sz="8" w:space="0"/>
              <w:right w:val="single" w:color="auto" w:sz="8" w:space="0"/>
            </w:tcBorders>
            <w:shd w:val="clear" w:color="auto" w:fill="auto"/>
            <w:vAlign w:val="center"/>
          </w:tcPr>
          <w:p w14:paraId="1BBC76AC">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zh-CN" w:bidi="ja-JP"/>
              </w:rPr>
              <w:t>8</w:t>
            </w:r>
            <w:r>
              <w:rPr>
                <w:rStyle w:val="641"/>
                <w:rFonts w:hint="eastAsia" w:ascii="仿宋" w:hAnsi="仿宋" w:eastAsia="仿宋" w:cs="宋体"/>
                <w:color w:val="auto"/>
                <w:sz w:val="24"/>
                <w:szCs w:val="24"/>
                <w:highlight w:val="none"/>
                <w:lang w:val="ja-JP" w:eastAsia="ja-JP" w:bidi="ja-JP"/>
              </w:rPr>
              <w:t>分</w:t>
            </w:r>
          </w:p>
        </w:tc>
        <w:tc>
          <w:tcPr>
            <w:tcW w:w="1193" w:type="dxa"/>
            <w:tcBorders>
              <w:top w:val="single" w:color="auto" w:sz="4" w:space="0"/>
              <w:left w:val="nil"/>
              <w:bottom w:val="single" w:color="auto" w:sz="8" w:space="0"/>
              <w:right w:val="single" w:color="auto" w:sz="8" w:space="0"/>
            </w:tcBorders>
            <w:shd w:val="clear" w:color="auto" w:fill="auto"/>
            <w:vAlign w:val="center"/>
          </w:tcPr>
          <w:p w14:paraId="48C37D08">
            <w:pPr>
              <w:pStyle w:val="640"/>
              <w:jc w:val="center"/>
              <w:rPr>
                <w:rFonts w:ascii="仿宋" w:hAnsi="仿宋" w:eastAsia="仿宋" w:cs="仿宋"/>
                <w:color w:val="auto"/>
                <w:sz w:val="24"/>
                <w:highlight w:val="none"/>
              </w:rPr>
            </w:pPr>
            <w:r>
              <w:rPr>
                <w:rStyle w:val="641"/>
                <w:rFonts w:hint="eastAsia" w:ascii="仿宋" w:hAnsi="仿宋" w:eastAsia="仿宋" w:cs="宋体"/>
                <w:color w:val="auto"/>
                <w:sz w:val="24"/>
                <w:szCs w:val="24"/>
                <w:highlight w:val="none"/>
                <w:lang w:val="ja-JP" w:eastAsia="ja-JP" w:bidi="ja-JP"/>
              </w:rPr>
              <w:t>主观分</w:t>
            </w:r>
          </w:p>
        </w:tc>
      </w:tr>
    </w:tbl>
    <w:p w14:paraId="530D635D">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注：1）若交易发起人对供应商提供的证明资料要求为原件的，另行提出。</w:t>
      </w:r>
    </w:p>
    <w:p w14:paraId="10DF2111">
      <w:pPr>
        <w:spacing w:line="440" w:lineRule="exact"/>
        <w:ind w:firstLine="482" w:firstLineChars="200"/>
        <w:rPr>
          <w:color w:val="auto"/>
          <w:highlight w:val="none"/>
        </w:rPr>
      </w:pPr>
      <w:r>
        <w:rPr>
          <w:rFonts w:hint="eastAsia" w:ascii="仿宋" w:hAnsi="仿宋" w:eastAsia="仿宋" w:cs="仿宋"/>
          <w:b/>
          <w:color w:val="auto"/>
          <w:sz w:val="24"/>
          <w:highlight w:val="none"/>
        </w:rPr>
        <w:t>2)响应文件中如附有外文资料，必须逐一对应翻译成中文并加盖供应商公章后附在相关外文资料后面，否则外文资料不予认可。翻译的中文资料与外文资料不符的，均不予认可。翻译严重错误的，将视同提供虚假资料。</w:t>
      </w:r>
    </w:p>
    <w:p w14:paraId="23A59763">
      <w:pPr>
        <w:spacing w:line="440" w:lineRule="exact"/>
        <w:ind w:firstLine="480" w:firstLineChars="200"/>
        <w:rPr>
          <w:rFonts w:hint="eastAsia" w:ascii="仿宋" w:hAnsi="仿宋" w:eastAsia="仿宋" w:cs="仿宋"/>
          <w:color w:val="auto"/>
          <w:sz w:val="24"/>
          <w:highlight w:val="none"/>
        </w:rPr>
      </w:pPr>
    </w:p>
    <w:p w14:paraId="3A2DEB30">
      <w:pPr>
        <w:spacing w:line="440" w:lineRule="exact"/>
        <w:ind w:firstLine="480" w:firstLineChars="200"/>
        <w:rPr>
          <w:rFonts w:hint="eastAsia" w:ascii="仿宋" w:hAnsi="仿宋" w:eastAsia="仿宋" w:cs="仿宋"/>
          <w:color w:val="auto"/>
          <w:sz w:val="24"/>
          <w:highlight w:val="none"/>
        </w:rPr>
      </w:pPr>
    </w:p>
    <w:p w14:paraId="7511E09D">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2、价格部分评分方法（10分）：</w:t>
      </w:r>
    </w:p>
    <w:tbl>
      <w:tblPr>
        <w:tblStyle w:val="61"/>
        <w:tblpPr w:leftFromText="180" w:rightFromText="180" w:vertAnchor="text" w:horzAnchor="margin" w:tblpXSpec="center" w:tblpY="3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8"/>
        <w:gridCol w:w="6606"/>
      </w:tblGrid>
      <w:tr w14:paraId="287F7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188" w:type="dxa"/>
            <w:vAlign w:val="center"/>
          </w:tcPr>
          <w:p w14:paraId="40884A42">
            <w:pPr>
              <w:spacing w:line="40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价格权值</w:t>
            </w:r>
          </w:p>
        </w:tc>
        <w:tc>
          <w:tcPr>
            <w:tcW w:w="6606" w:type="dxa"/>
            <w:vAlign w:val="center"/>
          </w:tcPr>
          <w:p w14:paraId="02BE0236">
            <w:pPr>
              <w:spacing w:line="40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计    算    方    法</w:t>
            </w:r>
          </w:p>
        </w:tc>
      </w:tr>
      <w:tr w14:paraId="2DBAB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2188" w:type="dxa"/>
            <w:vAlign w:val="center"/>
          </w:tcPr>
          <w:p w14:paraId="3157ED76">
            <w:pPr>
              <w:spacing w:line="40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报价得分计算规则</w:t>
            </w:r>
          </w:p>
        </w:tc>
        <w:tc>
          <w:tcPr>
            <w:tcW w:w="6606" w:type="dxa"/>
            <w:vAlign w:val="center"/>
          </w:tcPr>
          <w:p w14:paraId="02A9D3DD">
            <w:pPr>
              <w:widowControl/>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最低有效响应价格为评审基准价</w:t>
            </w:r>
          </w:p>
          <w:p w14:paraId="420BBADB">
            <w:pPr>
              <w:widowControl/>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报价得分=(评标基准价／响应报价)×价格权值×100</w:t>
            </w:r>
          </w:p>
          <w:p w14:paraId="53B4F29B">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（计算得分保留小数点后2位）</w:t>
            </w:r>
          </w:p>
        </w:tc>
      </w:tr>
    </w:tbl>
    <w:p w14:paraId="6A408B00">
      <w:pPr>
        <w:pStyle w:val="60"/>
        <w:ind w:left="0" w:leftChars="0" w:firstLine="0" w:firstLineChars="0"/>
        <w:rPr>
          <w:color w:val="auto"/>
          <w:highlight w:val="none"/>
        </w:rPr>
      </w:pPr>
    </w:p>
    <w:p w14:paraId="3896B49D">
      <w:pPr>
        <w:pStyle w:val="60"/>
        <w:ind w:left="0" w:leftChars="0" w:firstLine="0" w:firstLineChars="0"/>
        <w:rPr>
          <w:color w:val="auto"/>
          <w:highlight w:val="none"/>
        </w:rPr>
      </w:pPr>
    </w:p>
    <w:p w14:paraId="76A4CAF5">
      <w:pPr>
        <w:pStyle w:val="60"/>
        <w:ind w:left="0" w:leftChars="0" w:firstLine="0" w:firstLineChars="0"/>
        <w:rPr>
          <w:color w:val="auto"/>
          <w:highlight w:val="none"/>
        </w:rPr>
      </w:pPr>
    </w:p>
    <w:p w14:paraId="58C56312">
      <w:pPr>
        <w:pStyle w:val="60"/>
        <w:ind w:left="0" w:leftChars="0" w:firstLine="0" w:firstLineChars="0"/>
        <w:rPr>
          <w:color w:val="auto"/>
          <w:highlight w:val="none"/>
        </w:rPr>
      </w:pPr>
    </w:p>
    <w:p w14:paraId="6BBA5B97">
      <w:pPr>
        <w:pStyle w:val="60"/>
        <w:ind w:left="0" w:leftChars="0" w:firstLine="0" w:firstLineChars="0"/>
        <w:rPr>
          <w:color w:val="auto"/>
          <w:highlight w:val="none"/>
        </w:rPr>
      </w:pPr>
    </w:p>
    <w:p w14:paraId="10B3D12C">
      <w:pPr>
        <w:pStyle w:val="60"/>
        <w:ind w:left="0" w:leftChars="0" w:firstLine="0" w:firstLineChars="0"/>
        <w:rPr>
          <w:color w:val="auto"/>
          <w:highlight w:val="none"/>
        </w:rPr>
      </w:pPr>
    </w:p>
    <w:p w14:paraId="38BCD794">
      <w:pPr>
        <w:pStyle w:val="60"/>
        <w:ind w:left="0" w:leftChars="0" w:firstLine="0" w:firstLineChars="0"/>
        <w:rPr>
          <w:color w:val="auto"/>
          <w:highlight w:val="none"/>
        </w:rPr>
      </w:pPr>
    </w:p>
    <w:p w14:paraId="61D42D15">
      <w:pPr>
        <w:pStyle w:val="60"/>
        <w:ind w:left="0" w:leftChars="0" w:firstLine="0" w:firstLineChars="0"/>
        <w:rPr>
          <w:color w:val="auto"/>
          <w:highlight w:val="none"/>
        </w:rPr>
      </w:pPr>
    </w:p>
    <w:p w14:paraId="0F29FD07">
      <w:pPr>
        <w:pStyle w:val="60"/>
        <w:ind w:left="0" w:leftChars="0" w:firstLine="0" w:firstLineChars="0"/>
        <w:rPr>
          <w:color w:val="auto"/>
          <w:highlight w:val="none"/>
        </w:rPr>
      </w:pPr>
    </w:p>
    <w:p w14:paraId="52513E93">
      <w:pPr>
        <w:pStyle w:val="60"/>
        <w:ind w:left="0" w:leftChars="0" w:firstLine="0" w:firstLineChars="0"/>
        <w:rPr>
          <w:color w:val="auto"/>
          <w:highlight w:val="none"/>
        </w:rPr>
      </w:pPr>
    </w:p>
    <w:p w14:paraId="17D0AD98">
      <w:pPr>
        <w:pStyle w:val="60"/>
        <w:ind w:left="0" w:leftChars="0" w:firstLine="0" w:firstLineChars="0"/>
        <w:rPr>
          <w:color w:val="auto"/>
          <w:highlight w:val="none"/>
        </w:rPr>
      </w:pPr>
    </w:p>
    <w:p w14:paraId="236E528C">
      <w:pPr>
        <w:pStyle w:val="60"/>
        <w:ind w:left="0" w:leftChars="0" w:firstLine="0" w:firstLineChars="0"/>
        <w:rPr>
          <w:color w:val="auto"/>
          <w:highlight w:val="none"/>
        </w:rPr>
      </w:pPr>
    </w:p>
    <w:p w14:paraId="4FDD6147">
      <w:pPr>
        <w:pStyle w:val="60"/>
        <w:ind w:left="0" w:leftChars="0" w:firstLine="0" w:firstLineChars="0"/>
        <w:rPr>
          <w:color w:val="auto"/>
          <w:highlight w:val="none"/>
        </w:rPr>
      </w:pPr>
    </w:p>
    <w:p w14:paraId="2DC4D142">
      <w:pPr>
        <w:pStyle w:val="60"/>
        <w:ind w:left="0" w:leftChars="0" w:firstLine="0" w:firstLineChars="0"/>
        <w:rPr>
          <w:color w:val="auto"/>
          <w:highlight w:val="none"/>
        </w:rPr>
      </w:pPr>
    </w:p>
    <w:p w14:paraId="5F06798B">
      <w:pPr>
        <w:pStyle w:val="60"/>
        <w:ind w:left="0" w:leftChars="0" w:firstLine="0" w:firstLineChars="0"/>
        <w:rPr>
          <w:color w:val="auto"/>
          <w:highlight w:val="none"/>
        </w:rPr>
      </w:pPr>
    </w:p>
    <w:p w14:paraId="1B360A93">
      <w:pPr>
        <w:pStyle w:val="60"/>
        <w:ind w:left="0" w:leftChars="0" w:firstLine="0" w:firstLineChars="0"/>
        <w:rPr>
          <w:color w:val="auto"/>
          <w:highlight w:val="none"/>
        </w:rPr>
      </w:pPr>
    </w:p>
    <w:p w14:paraId="324AA81E">
      <w:pPr>
        <w:pStyle w:val="60"/>
        <w:ind w:left="0" w:leftChars="0" w:firstLine="0" w:firstLineChars="0"/>
        <w:rPr>
          <w:color w:val="auto"/>
          <w:highlight w:val="none"/>
        </w:rPr>
      </w:pPr>
    </w:p>
    <w:p w14:paraId="6CC3743A">
      <w:pPr>
        <w:pStyle w:val="60"/>
        <w:ind w:left="0" w:leftChars="0" w:firstLine="0" w:firstLineChars="0"/>
        <w:rPr>
          <w:color w:val="auto"/>
          <w:highlight w:val="none"/>
        </w:rPr>
      </w:pPr>
    </w:p>
    <w:p w14:paraId="41E8E016">
      <w:pPr>
        <w:pStyle w:val="60"/>
        <w:ind w:left="0" w:leftChars="0" w:firstLine="0" w:firstLineChars="0"/>
        <w:rPr>
          <w:color w:val="auto"/>
          <w:highlight w:val="none"/>
        </w:rPr>
      </w:pPr>
    </w:p>
    <w:p w14:paraId="0A912AE2">
      <w:pPr>
        <w:pStyle w:val="60"/>
        <w:ind w:left="0" w:leftChars="0" w:firstLine="0" w:firstLineChars="0"/>
        <w:rPr>
          <w:color w:val="auto"/>
          <w:highlight w:val="none"/>
        </w:rPr>
      </w:pPr>
    </w:p>
    <w:p w14:paraId="6EFF1613">
      <w:pPr>
        <w:pStyle w:val="60"/>
        <w:ind w:left="0" w:leftChars="0" w:firstLine="0" w:firstLineChars="0"/>
        <w:rPr>
          <w:color w:val="auto"/>
          <w:highlight w:val="none"/>
        </w:rPr>
      </w:pPr>
    </w:p>
    <w:p w14:paraId="293123BB">
      <w:pPr>
        <w:pStyle w:val="60"/>
        <w:ind w:left="0" w:leftChars="0" w:firstLine="0" w:firstLineChars="0"/>
        <w:rPr>
          <w:color w:val="auto"/>
          <w:highlight w:val="none"/>
        </w:rPr>
      </w:pPr>
    </w:p>
    <w:p w14:paraId="146BC302">
      <w:pPr>
        <w:pStyle w:val="60"/>
        <w:ind w:left="0" w:leftChars="0" w:firstLine="0" w:firstLineChars="0"/>
        <w:rPr>
          <w:color w:val="auto"/>
          <w:highlight w:val="none"/>
        </w:rPr>
      </w:pPr>
    </w:p>
    <w:p w14:paraId="66552BAE">
      <w:pPr>
        <w:pStyle w:val="60"/>
        <w:ind w:left="0" w:leftChars="0" w:firstLine="0" w:firstLineChars="0"/>
        <w:rPr>
          <w:color w:val="auto"/>
          <w:highlight w:val="none"/>
        </w:rPr>
      </w:pPr>
    </w:p>
    <w:p w14:paraId="79E61149">
      <w:pPr>
        <w:pStyle w:val="60"/>
        <w:ind w:left="0" w:leftChars="0" w:firstLine="0" w:firstLineChars="0"/>
        <w:rPr>
          <w:color w:val="auto"/>
          <w:highlight w:val="none"/>
        </w:rPr>
      </w:pPr>
    </w:p>
    <w:p w14:paraId="0BB6FE34">
      <w:pPr>
        <w:pStyle w:val="60"/>
        <w:ind w:left="0" w:leftChars="0" w:firstLine="0" w:firstLineChars="0"/>
        <w:rPr>
          <w:color w:val="auto"/>
          <w:highlight w:val="none"/>
        </w:rPr>
      </w:pPr>
    </w:p>
    <w:p w14:paraId="3D7C9A73">
      <w:pPr>
        <w:pStyle w:val="60"/>
        <w:ind w:left="0" w:leftChars="0" w:firstLine="0" w:firstLineChars="0"/>
        <w:rPr>
          <w:color w:val="auto"/>
          <w:highlight w:val="none"/>
        </w:rPr>
      </w:pPr>
    </w:p>
    <w:p w14:paraId="34AAB4C2">
      <w:pPr>
        <w:pStyle w:val="60"/>
        <w:ind w:left="0" w:leftChars="0" w:firstLine="0" w:firstLineChars="0"/>
        <w:rPr>
          <w:color w:val="auto"/>
          <w:highlight w:val="none"/>
        </w:rPr>
      </w:pPr>
    </w:p>
    <w:p w14:paraId="05E0AF98">
      <w:pPr>
        <w:pStyle w:val="60"/>
        <w:ind w:left="0" w:leftChars="0" w:firstLine="0" w:firstLineChars="0"/>
        <w:rPr>
          <w:color w:val="auto"/>
          <w:highlight w:val="none"/>
        </w:rPr>
      </w:pPr>
    </w:p>
    <w:p w14:paraId="1373AC29">
      <w:pPr>
        <w:pStyle w:val="60"/>
        <w:ind w:left="0" w:leftChars="0" w:firstLine="0" w:firstLineChars="0"/>
        <w:rPr>
          <w:color w:val="auto"/>
          <w:highlight w:val="none"/>
        </w:rPr>
      </w:pPr>
    </w:p>
    <w:p w14:paraId="15D47B00">
      <w:pPr>
        <w:pStyle w:val="60"/>
        <w:ind w:left="0" w:leftChars="0" w:firstLine="0" w:firstLineChars="0"/>
        <w:rPr>
          <w:rFonts w:hint="eastAsia"/>
          <w:color w:val="auto"/>
          <w:highlight w:val="none"/>
        </w:rPr>
      </w:pPr>
    </w:p>
    <w:p w14:paraId="1DDF061A">
      <w:pPr>
        <w:snapToGrid w:val="0"/>
        <w:spacing w:line="570" w:lineRule="exact"/>
        <w:rPr>
          <w:rFonts w:ascii="仿宋" w:hAnsi="仿宋" w:eastAsia="仿宋" w:cs="仿宋"/>
          <w:b/>
          <w:color w:val="auto"/>
          <w:sz w:val="28"/>
          <w:szCs w:val="28"/>
          <w:highlight w:val="none"/>
        </w:rPr>
      </w:pPr>
      <w:r>
        <w:rPr>
          <w:rFonts w:hint="eastAsia" w:ascii="仿宋" w:hAnsi="仿宋" w:eastAsia="仿宋" w:cs="仿宋"/>
          <w:b/>
          <w:color w:val="auto"/>
          <w:sz w:val="32"/>
          <w:highlight w:val="none"/>
        </w:rPr>
        <w:t>一、交易方法</w:t>
      </w:r>
    </w:p>
    <w:p w14:paraId="23AD2313">
      <w:pPr>
        <w:adjustRightInd/>
        <w:spacing w:line="570" w:lineRule="exact"/>
        <w:ind w:firstLine="482" w:firstLineChars="200"/>
        <w:rPr>
          <w:rFonts w:ascii="仿宋" w:hAnsi="仿宋" w:eastAsia="仿宋" w:cs="仿宋"/>
          <w:color w:val="auto"/>
          <w:kern w:val="0"/>
          <w:sz w:val="24"/>
          <w:highlight w:val="none"/>
        </w:rPr>
      </w:pPr>
      <w:r>
        <w:rPr>
          <w:rFonts w:hint="eastAsia" w:ascii="仿宋" w:hAnsi="仿宋" w:eastAsia="仿宋" w:cs="仿宋"/>
          <w:b/>
          <w:color w:val="auto"/>
          <w:kern w:val="0"/>
          <w:sz w:val="24"/>
          <w:highlight w:val="none"/>
        </w:rPr>
        <w:t>1.本项目采用综合评估法。</w:t>
      </w:r>
      <w:r>
        <w:rPr>
          <w:rFonts w:hint="eastAsia" w:ascii="仿宋" w:hAnsi="仿宋" w:eastAsia="仿宋" w:cs="仿宋"/>
          <w:color w:val="auto"/>
          <w:kern w:val="0"/>
          <w:sz w:val="24"/>
          <w:highlight w:val="none"/>
        </w:rPr>
        <w:t>综合评估法，是指响应文件满足公开竞争文件全部实质性要求，且按照评审因素评审得分最高的供应商为成交候选人的评审方法。</w:t>
      </w:r>
    </w:p>
    <w:p w14:paraId="2BD25884">
      <w:pPr>
        <w:adjustRightInd/>
        <w:spacing w:line="570" w:lineRule="exact"/>
        <w:rPr>
          <w:rFonts w:ascii="仿宋" w:hAnsi="仿宋" w:eastAsia="仿宋" w:cs="仿宋"/>
          <w:color w:val="auto"/>
          <w:kern w:val="0"/>
          <w:sz w:val="24"/>
          <w:highlight w:val="none"/>
        </w:rPr>
      </w:pPr>
      <w:r>
        <w:rPr>
          <w:rFonts w:hint="eastAsia" w:ascii="仿宋" w:hAnsi="仿宋" w:eastAsia="仿宋" w:cs="仿宋"/>
          <w:b/>
          <w:color w:val="auto"/>
          <w:sz w:val="32"/>
          <w:highlight w:val="none"/>
        </w:rPr>
        <w:t>二、交易标准</w:t>
      </w:r>
    </w:p>
    <w:p w14:paraId="6EA917AE">
      <w:pPr>
        <w:spacing w:line="570" w:lineRule="exact"/>
        <w:ind w:firstLine="472" w:firstLineChars="196"/>
        <w:rPr>
          <w:rFonts w:ascii="仿宋" w:hAnsi="仿宋" w:eastAsia="仿宋" w:cs="仿宋"/>
          <w:b/>
          <w:color w:val="auto"/>
          <w:sz w:val="24"/>
          <w:highlight w:val="none"/>
        </w:rPr>
      </w:pPr>
      <w:r>
        <w:rPr>
          <w:rFonts w:hint="eastAsia" w:ascii="仿宋" w:hAnsi="仿宋" w:eastAsia="仿宋" w:cs="仿宋"/>
          <w:b/>
          <w:color w:val="auto"/>
          <w:sz w:val="24"/>
          <w:highlight w:val="none"/>
        </w:rPr>
        <w:t>2.</w:t>
      </w:r>
      <w:r>
        <w:rPr>
          <w:rFonts w:hint="eastAsia" w:ascii="仿宋" w:hAnsi="仿宋" w:eastAsia="仿宋" w:cs="仿宋"/>
          <w:color w:val="auto"/>
          <w:highlight w:val="none"/>
        </w:rPr>
        <w:t xml:space="preserve"> </w:t>
      </w:r>
      <w:r>
        <w:rPr>
          <w:rFonts w:hint="eastAsia" w:ascii="仿宋" w:hAnsi="仿宋" w:eastAsia="仿宋" w:cs="仿宋"/>
          <w:b/>
          <w:color w:val="auto"/>
          <w:sz w:val="24"/>
          <w:highlight w:val="none"/>
        </w:rPr>
        <w:t>评审标准：</w:t>
      </w:r>
      <w:r>
        <w:rPr>
          <w:rFonts w:hint="eastAsia" w:ascii="仿宋" w:hAnsi="仿宋" w:eastAsia="仿宋" w:cs="仿宋"/>
          <w:color w:val="auto"/>
          <w:kern w:val="0"/>
          <w:sz w:val="24"/>
          <w:highlight w:val="none"/>
        </w:rPr>
        <w:t>见交易办法前附表。</w:t>
      </w:r>
    </w:p>
    <w:p w14:paraId="09C85920">
      <w:pPr>
        <w:spacing w:line="570" w:lineRule="exact"/>
        <w:outlineLvl w:val="0"/>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三、</w:t>
      </w:r>
      <w:r>
        <w:rPr>
          <w:rFonts w:hint="eastAsia" w:ascii="仿宋" w:hAnsi="仿宋" w:eastAsia="仿宋" w:cs="仿宋"/>
          <w:b/>
          <w:color w:val="auto"/>
          <w:sz w:val="32"/>
          <w:highlight w:val="none"/>
        </w:rPr>
        <w:t>交易程序</w:t>
      </w:r>
    </w:p>
    <w:p w14:paraId="03089AD8">
      <w:pPr>
        <w:spacing w:line="570" w:lineRule="exact"/>
        <w:ind w:firstLine="472" w:firstLineChars="196"/>
        <w:rPr>
          <w:rFonts w:ascii="仿宋" w:hAnsi="仿宋" w:eastAsia="仿宋" w:cs="仿宋"/>
          <w:color w:val="auto"/>
          <w:kern w:val="0"/>
          <w:sz w:val="24"/>
          <w:highlight w:val="none"/>
        </w:rPr>
      </w:pPr>
      <w:r>
        <w:rPr>
          <w:rFonts w:hint="eastAsia" w:ascii="仿宋" w:hAnsi="仿宋" w:eastAsia="仿宋" w:cs="仿宋"/>
          <w:b/>
          <w:color w:val="auto"/>
          <w:kern w:val="0"/>
          <w:sz w:val="24"/>
          <w:highlight w:val="none"/>
        </w:rPr>
        <w:t>3.1符合性审查。</w:t>
      </w:r>
      <w:r>
        <w:rPr>
          <w:rFonts w:hint="eastAsia" w:ascii="仿宋" w:hAnsi="仿宋" w:eastAsia="仿宋" w:cs="仿宋"/>
          <w:color w:val="auto"/>
          <w:kern w:val="0"/>
          <w:sz w:val="24"/>
          <w:highlight w:val="none"/>
        </w:rPr>
        <w:t>评标委员会应当对符合资格的供应商的响应文件进行符合性审查，以确定其是否满足交易文件的实质性要求。不满足交易文件的实质性要求的，交易无效。</w:t>
      </w:r>
    </w:p>
    <w:p w14:paraId="011D92C7">
      <w:pPr>
        <w:spacing w:line="570" w:lineRule="exact"/>
        <w:ind w:firstLine="472" w:firstLineChars="196"/>
        <w:rPr>
          <w:rFonts w:ascii="仿宋" w:hAnsi="仿宋" w:eastAsia="仿宋" w:cs="仿宋"/>
          <w:color w:val="auto"/>
          <w:kern w:val="0"/>
          <w:sz w:val="24"/>
          <w:highlight w:val="none"/>
        </w:rPr>
      </w:pPr>
      <w:r>
        <w:rPr>
          <w:rFonts w:hint="eastAsia" w:ascii="仿宋" w:hAnsi="仿宋" w:eastAsia="仿宋" w:cs="仿宋"/>
          <w:b/>
          <w:color w:val="auto"/>
          <w:kern w:val="0"/>
          <w:sz w:val="24"/>
          <w:highlight w:val="none"/>
        </w:rPr>
        <w:t>3.2 比较与评价。</w:t>
      </w:r>
      <w:r>
        <w:rPr>
          <w:rFonts w:hint="eastAsia" w:ascii="仿宋" w:hAnsi="仿宋" w:eastAsia="仿宋" w:cs="仿宋"/>
          <w:color w:val="auto"/>
          <w:kern w:val="0"/>
          <w:sz w:val="24"/>
          <w:highlight w:val="none"/>
        </w:rPr>
        <w:t>评标委员会应当按照交易文件中规定的评标方法和标准，对符合性审查合格的响应文件进行商务和技术评估，综合比较与评价。</w:t>
      </w:r>
    </w:p>
    <w:p w14:paraId="68AB404C">
      <w:pPr>
        <w:spacing w:line="570" w:lineRule="exact"/>
        <w:ind w:firstLine="472" w:firstLineChars="196"/>
        <w:rPr>
          <w:rFonts w:ascii="仿宋" w:hAnsi="仿宋" w:eastAsia="仿宋" w:cs="仿宋"/>
          <w:color w:val="auto"/>
          <w:kern w:val="0"/>
          <w:sz w:val="24"/>
          <w:highlight w:val="none"/>
        </w:rPr>
      </w:pPr>
      <w:r>
        <w:rPr>
          <w:rFonts w:hint="eastAsia" w:ascii="仿宋" w:hAnsi="仿宋" w:eastAsia="仿宋" w:cs="仿宋"/>
          <w:b/>
          <w:color w:val="auto"/>
          <w:kern w:val="0"/>
          <w:sz w:val="24"/>
          <w:highlight w:val="none"/>
        </w:rPr>
        <w:t>3.3汇总商务技术得分。</w:t>
      </w:r>
      <w:r>
        <w:rPr>
          <w:rFonts w:hint="eastAsia" w:ascii="仿宋" w:hAnsi="仿宋" w:eastAsia="仿宋" w:cs="仿宋"/>
          <w:color w:val="auto"/>
          <w:kern w:val="0"/>
          <w:sz w:val="24"/>
          <w:highlight w:val="none"/>
        </w:rPr>
        <w:t>评标委员会各成员应当独立对每个供应商的商务和技术文件进行评价，并汇总商务技术得分情况。</w:t>
      </w:r>
    </w:p>
    <w:p w14:paraId="13091FC0">
      <w:pPr>
        <w:spacing w:line="570" w:lineRule="exact"/>
        <w:ind w:firstLine="472" w:firstLineChars="196"/>
        <w:rPr>
          <w:rFonts w:ascii="仿宋" w:hAnsi="仿宋" w:eastAsia="仿宋" w:cs="仿宋"/>
          <w:b/>
          <w:color w:val="auto"/>
          <w:kern w:val="0"/>
          <w:sz w:val="24"/>
          <w:highlight w:val="none"/>
        </w:rPr>
      </w:pPr>
      <w:r>
        <w:rPr>
          <w:rFonts w:hint="eastAsia" w:ascii="仿宋" w:hAnsi="仿宋" w:eastAsia="仿宋" w:cs="仿宋"/>
          <w:b/>
          <w:color w:val="auto"/>
          <w:kern w:val="0"/>
          <w:sz w:val="24"/>
          <w:highlight w:val="none"/>
        </w:rPr>
        <w:t>3.4报价评审。</w:t>
      </w:r>
    </w:p>
    <w:p w14:paraId="203A5BE3">
      <w:pPr>
        <w:pStyle w:val="218"/>
        <w:spacing w:before="0" w:line="570" w:lineRule="exact"/>
        <w:ind w:firstLine="508" w:firstLineChars="212"/>
        <w:rPr>
          <w:rFonts w:ascii="仿宋" w:hAnsi="仿宋" w:eastAsia="仿宋" w:cs="仿宋"/>
          <w:color w:val="auto"/>
          <w:kern w:val="0"/>
          <w:highlight w:val="none"/>
        </w:rPr>
      </w:pPr>
      <w:r>
        <w:rPr>
          <w:rFonts w:hint="eastAsia" w:ascii="仿宋" w:hAnsi="仿宋" w:eastAsia="仿宋" w:cs="仿宋"/>
          <w:color w:val="auto"/>
          <w:kern w:val="0"/>
          <w:highlight w:val="none"/>
        </w:rPr>
        <w:t>3.4.1响应文件报价出现前后不一致的，按照下列规定修正：</w:t>
      </w:r>
    </w:p>
    <w:p w14:paraId="5B0387DC">
      <w:pPr>
        <w:pStyle w:val="218"/>
        <w:spacing w:before="0" w:line="570" w:lineRule="exact"/>
        <w:ind w:firstLine="480"/>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3.4.1.1响应文件中交易一览表(报价表)内容与响应文件中相应内容不一致的，以交易一览表(报价表)为准；</w:t>
      </w:r>
    </w:p>
    <w:p w14:paraId="73FBFA93">
      <w:pPr>
        <w:pStyle w:val="218"/>
        <w:spacing w:before="0" w:line="570" w:lineRule="exact"/>
        <w:ind w:firstLine="480"/>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3.4.1.2大写金额和小写金额不一致的，以大写金额为准;</w:t>
      </w:r>
    </w:p>
    <w:p w14:paraId="3D01A5C2">
      <w:pPr>
        <w:pStyle w:val="218"/>
        <w:spacing w:before="0" w:line="570" w:lineRule="exact"/>
        <w:ind w:firstLine="480"/>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3.4.1.3单价金额小数点或者百分比有明显错位的，以交易一览表的总价为准，并修改单价;</w:t>
      </w:r>
    </w:p>
    <w:p w14:paraId="62C8620D">
      <w:pPr>
        <w:pStyle w:val="218"/>
        <w:spacing w:before="0" w:line="570" w:lineRule="exact"/>
        <w:ind w:firstLine="480"/>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3.4.1.4总价金额与按单价汇总金额不一致的，以单价金额计算结果为准。</w:t>
      </w:r>
    </w:p>
    <w:p w14:paraId="577002DC">
      <w:pPr>
        <w:pStyle w:val="218"/>
        <w:spacing w:before="0" w:line="570" w:lineRule="exact"/>
        <w:ind w:firstLine="480"/>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3.4.1.5同时出现两种以上不一致的，按照3.4.1规定的顺序修正。修正后的报价按照财政部第87号令 《政府采购货物和服务招标投标管理办法》第五十一条第二款的规定经供应商确认后产生约束力。</w:t>
      </w:r>
    </w:p>
    <w:p w14:paraId="32219865">
      <w:pPr>
        <w:snapToGrid w:val="0"/>
        <w:spacing w:line="570" w:lineRule="exact"/>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3.4.2响应文件出现不是唯一的、有选择性交易报价的，交易无效。</w:t>
      </w:r>
    </w:p>
    <w:p w14:paraId="61D5F1B5">
      <w:pPr>
        <w:snapToGrid w:val="0"/>
        <w:spacing w:line="570" w:lineRule="exact"/>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3.4.3交易报价超过交易文件中规定的预算金额或者最高限价的，交易无效。</w:t>
      </w:r>
    </w:p>
    <w:p w14:paraId="65BC60AD">
      <w:pPr>
        <w:pStyle w:val="218"/>
        <w:spacing w:before="0" w:line="570" w:lineRule="exact"/>
        <w:ind w:firstLine="480"/>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3.4.4评标委员会认为供应商的报价明显低于其他通过符合性审查供应商的报价，有可能影响产品质量或者不能诚信履约的，应当要求其在合理的时间内提供书面说明，必要时提交相关证明材料；供应商不能证明其报价合理性的，评标委员会应当将其作为无效投标处理。</w:t>
      </w:r>
    </w:p>
    <w:p w14:paraId="1501B573">
      <w:pPr>
        <w:spacing w:line="570" w:lineRule="exact"/>
        <w:ind w:firstLine="482" w:firstLineChars="200"/>
        <w:rPr>
          <w:rFonts w:ascii="仿宋" w:hAnsi="仿宋" w:eastAsia="仿宋" w:cs="仿宋"/>
          <w:color w:val="auto"/>
          <w:kern w:val="0"/>
          <w:sz w:val="24"/>
          <w:highlight w:val="none"/>
        </w:rPr>
      </w:pPr>
      <w:r>
        <w:rPr>
          <w:rFonts w:hint="eastAsia" w:ascii="仿宋" w:hAnsi="仿宋" w:eastAsia="仿宋" w:cs="仿宋"/>
          <w:b/>
          <w:color w:val="auto"/>
          <w:kern w:val="0"/>
          <w:sz w:val="24"/>
          <w:highlight w:val="none"/>
        </w:rPr>
        <w:t>3.5排序与推荐。</w:t>
      </w:r>
      <w:r>
        <w:rPr>
          <w:rFonts w:hint="eastAsia" w:ascii="仿宋" w:hAnsi="仿宋" w:eastAsia="仿宋" w:cs="仿宋"/>
          <w:color w:val="auto"/>
          <w:kern w:val="0"/>
          <w:sz w:val="24"/>
          <w:highlight w:val="none"/>
        </w:rPr>
        <w:t>采用综合评估法的，评标结果按评审后得分由高到低顺序排列。得分相同的，按交易报价由低到高顺序排列。得分且交易报价相同的并列。响应文件满足公开竞争文件全部实质性要求，且按照评审因素评审得分最高的供应商为排名第一的成交候选人。</w:t>
      </w:r>
    </w:p>
    <w:p w14:paraId="0461542C">
      <w:pPr>
        <w:spacing w:line="570" w:lineRule="exact"/>
        <w:rPr>
          <w:rFonts w:ascii="仿宋" w:hAnsi="仿宋" w:eastAsia="仿宋" w:cs="仿宋"/>
          <w:b/>
          <w:color w:val="auto"/>
          <w:kern w:val="0"/>
          <w:sz w:val="24"/>
          <w:highlight w:val="none"/>
        </w:rPr>
      </w:pPr>
      <w:r>
        <w:rPr>
          <w:rFonts w:hint="eastAsia" w:ascii="仿宋" w:hAnsi="仿宋" w:eastAsia="仿宋" w:cs="仿宋"/>
          <w:color w:val="auto"/>
          <w:kern w:val="0"/>
          <w:sz w:val="24"/>
          <w:highlight w:val="none"/>
        </w:rPr>
        <w:t>多家供应商提供相同品牌产品（单一产品采购项目中的该产品或者非单一产品采购项目的核心产品）且通过资格审查、符合性审查的不同供应商参加同一合同项下投标的，按一家供应商计算，评审后得分最高的同品牌供应商获得成交人推荐资格；评审得分相同的，采取随机抽取方式确定，其他同品牌供应商不作为成交候选人。</w:t>
      </w:r>
    </w:p>
    <w:p w14:paraId="104C279E">
      <w:pPr>
        <w:spacing w:line="570" w:lineRule="exact"/>
        <w:ind w:firstLine="472" w:firstLineChars="196"/>
        <w:rPr>
          <w:rFonts w:ascii="仿宋" w:hAnsi="仿宋" w:eastAsia="仿宋" w:cs="仿宋"/>
          <w:color w:val="auto"/>
          <w:kern w:val="0"/>
          <w:sz w:val="24"/>
          <w:highlight w:val="none"/>
        </w:rPr>
      </w:pPr>
      <w:r>
        <w:rPr>
          <w:rFonts w:hint="eastAsia" w:ascii="仿宋" w:hAnsi="仿宋" w:eastAsia="仿宋" w:cs="仿宋"/>
          <w:b/>
          <w:color w:val="auto"/>
          <w:kern w:val="0"/>
          <w:sz w:val="24"/>
          <w:highlight w:val="none"/>
        </w:rPr>
        <w:t>3.6编写评标报告。</w:t>
      </w:r>
      <w:r>
        <w:rPr>
          <w:rFonts w:hint="eastAsia" w:ascii="仿宋" w:hAnsi="仿宋" w:eastAsia="仿宋" w:cs="仿宋"/>
          <w:color w:val="auto"/>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4AE6830C">
      <w:pPr>
        <w:widowControl/>
        <w:shd w:val="clear" w:color="auto" w:fill="FFFFFF"/>
        <w:adjustRightInd/>
        <w:spacing w:after="225" w:line="570" w:lineRule="exact"/>
        <w:jc w:val="left"/>
        <w:rPr>
          <w:rFonts w:ascii="仿宋" w:hAnsi="仿宋" w:eastAsia="仿宋" w:cs="仿宋"/>
          <w:b/>
          <w:color w:val="auto"/>
          <w:sz w:val="32"/>
          <w:highlight w:val="none"/>
        </w:rPr>
      </w:pPr>
      <w:r>
        <w:rPr>
          <w:rFonts w:hint="eastAsia" w:ascii="仿宋" w:hAnsi="仿宋" w:eastAsia="仿宋" w:cs="仿宋"/>
          <w:b/>
          <w:color w:val="auto"/>
          <w:sz w:val="32"/>
          <w:highlight w:val="none"/>
        </w:rPr>
        <w:t>四、评标中的其他事项</w:t>
      </w:r>
    </w:p>
    <w:p w14:paraId="5E581CE1">
      <w:pPr>
        <w:pStyle w:val="218"/>
        <w:spacing w:before="0" w:line="570" w:lineRule="exact"/>
        <w:ind w:firstLine="472" w:firstLineChars="196"/>
        <w:rPr>
          <w:rFonts w:ascii="仿宋" w:hAnsi="仿宋" w:eastAsia="仿宋" w:cs="仿宋"/>
          <w:color w:val="auto"/>
          <w:kern w:val="0"/>
          <w:szCs w:val="24"/>
          <w:highlight w:val="none"/>
        </w:rPr>
      </w:pPr>
      <w:r>
        <w:rPr>
          <w:rFonts w:hint="eastAsia" w:ascii="仿宋" w:hAnsi="仿宋" w:eastAsia="仿宋" w:cs="仿宋"/>
          <w:b/>
          <w:color w:val="auto"/>
          <w:kern w:val="0"/>
          <w:szCs w:val="24"/>
          <w:highlight w:val="none"/>
        </w:rPr>
        <w:t>4.1供应商澄清、说明或者补正。</w:t>
      </w:r>
      <w:r>
        <w:rPr>
          <w:rFonts w:hint="eastAsia" w:ascii="仿宋" w:hAnsi="仿宋" w:eastAsia="仿宋" w:cs="仿宋"/>
          <w:color w:val="auto"/>
          <w:kern w:val="0"/>
          <w:szCs w:val="24"/>
          <w:highlight w:val="none"/>
        </w:rPr>
        <w:t>对于响应文件中含义不明确、同类问题表述不一致或者有明显文字和计算错误的内容需要供应商作出必要的澄清、说明或者补正的，评标委员会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73FA1BD6">
      <w:pPr>
        <w:pStyle w:val="24"/>
        <w:spacing w:line="570" w:lineRule="exact"/>
        <w:ind w:left="954" w:leftChars="226" w:hanging="479" w:firstLineChars="0"/>
        <w:rPr>
          <w:rFonts w:ascii="仿宋" w:hAnsi="仿宋" w:eastAsia="仿宋" w:cs="仿宋"/>
          <w:color w:val="auto"/>
          <w:szCs w:val="21"/>
          <w:highlight w:val="none"/>
        </w:rPr>
      </w:pPr>
      <w:r>
        <w:rPr>
          <w:rFonts w:hint="eastAsia" w:ascii="仿宋" w:hAnsi="仿宋" w:eastAsia="仿宋" w:cs="仿宋"/>
          <w:b/>
          <w:color w:val="auto"/>
          <w:kern w:val="0"/>
          <w:highlight w:val="none"/>
        </w:rPr>
        <w:t>4.2交易无效。</w:t>
      </w:r>
      <w:r>
        <w:rPr>
          <w:rFonts w:hint="eastAsia" w:ascii="仿宋" w:hAnsi="仿宋" w:eastAsia="仿宋" w:cs="仿宋"/>
          <w:color w:val="auto"/>
          <w:szCs w:val="21"/>
          <w:highlight w:val="none"/>
        </w:rPr>
        <w:t>有下列情形之一的，交易无效：</w:t>
      </w:r>
    </w:p>
    <w:p w14:paraId="4CBC9DBC">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4.2.1供应商不具备交易文件中规定的资格要求的（供应商未提供有效的资格文件的，视为供应商不具备交易文件中规定的资格要求）；</w:t>
      </w:r>
    </w:p>
    <w:p w14:paraId="42AFA3F0">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4.2.2响应文件未按照交易文件要求签署、盖章的；</w:t>
      </w:r>
    </w:p>
    <w:p w14:paraId="2A52F8F9">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4.2.3交易发起人拟采购的产品属于政府强制采购的节能产品品目清单范围的，供应商未按交易文件要求提供国家确定的认证机构出具的、处于有效期之内的节能产品认证证书的；</w:t>
      </w:r>
    </w:p>
    <w:p w14:paraId="3C02606B">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4.2.4响应文件含有交易发起人不能接受的附加条件的；</w:t>
      </w:r>
    </w:p>
    <w:p w14:paraId="328B8D66">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4.2.5响应文件中承诺的交易有效期少于交易文件中载明的交易有效期的；</w:t>
      </w:r>
    </w:p>
    <w:p w14:paraId="622767C5">
      <w:pPr>
        <w:snapToGrid w:val="0"/>
        <w:spacing w:line="570" w:lineRule="exact"/>
        <w:ind w:firstLine="120" w:firstLineChars="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4.2.6响应文件出现不是唯一的、有选择性交易报价的;</w:t>
      </w:r>
    </w:p>
    <w:p w14:paraId="4908B65A">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4.2.7交易报价超过交易文件中规定的预算金额或者最高限价的;</w:t>
      </w:r>
    </w:p>
    <w:p w14:paraId="4F7F38E3">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4.2.8报价明显低于其他通过符合性审查供应商的报价，有可能影响产品质量或者不能诚信履约的，未能按要求提供书面说明或者提交相关证明材料，不能证明其报价合理性的;</w:t>
      </w:r>
    </w:p>
    <w:p w14:paraId="01E5B385">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4.2.9供应商对根据修正原则修正后的报价不确认的；</w:t>
      </w:r>
    </w:p>
    <w:p w14:paraId="19BDD49D">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4.2.10供应商提供虚假材料投标的；</w:t>
      </w:r>
    </w:p>
    <w:p w14:paraId="516337D5">
      <w:pPr>
        <w:spacing w:line="570" w:lineRule="exact"/>
        <w:ind w:firstLine="240" w:firstLineChars="1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4.2.11供应商有恶意串通、妨碍其他供应商的竞争行为、损害交易发起人或者其他供应商的合法权益情形的；</w:t>
      </w:r>
    </w:p>
    <w:p w14:paraId="4CBFCFBA">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4.2.12供应商仅提交备份响应文件，未在电子交易平台传输递交响应文件的，交易无效；</w:t>
      </w:r>
    </w:p>
    <w:p w14:paraId="58AAF569">
      <w:pPr>
        <w:pStyle w:val="3"/>
        <w:spacing w:line="570" w:lineRule="exact"/>
        <w:ind w:left="430" w:leftChars="205"/>
        <w:rPr>
          <w:rFonts w:ascii="仿宋" w:eastAsia="仿宋" w:cs="仿宋"/>
          <w:b w:val="0"/>
          <w:bCs w:val="0"/>
          <w:color w:val="auto"/>
          <w:kern w:val="0"/>
          <w:sz w:val="24"/>
          <w:szCs w:val="24"/>
          <w:highlight w:val="none"/>
          <w:lang w:val="en-US"/>
        </w:rPr>
      </w:pPr>
      <w:r>
        <w:rPr>
          <w:rFonts w:hint="eastAsia" w:ascii="仿宋" w:eastAsia="仿宋" w:cs="仿宋"/>
          <w:b w:val="0"/>
          <w:bCs w:val="0"/>
          <w:color w:val="auto"/>
          <w:kern w:val="0"/>
          <w:sz w:val="24"/>
          <w:szCs w:val="24"/>
          <w:highlight w:val="none"/>
          <w:lang w:val="en-US"/>
        </w:rPr>
        <w:t>4.2.13 响应文件不满足交易文件的其它实质性要求的；</w:t>
      </w:r>
    </w:p>
    <w:p w14:paraId="0C13FD4A">
      <w:pPr>
        <w:spacing w:line="57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4.2.14法律、法规、规章（适用本市的）及省级以上规范性文件（适用本市的）规定的其他无效情形。</w:t>
      </w:r>
    </w:p>
    <w:p w14:paraId="6741D815">
      <w:pPr>
        <w:pStyle w:val="24"/>
        <w:snapToGrid w:val="0"/>
        <w:spacing w:line="570" w:lineRule="exact"/>
        <w:ind w:firstLine="472" w:firstLineChars="196"/>
        <w:rPr>
          <w:rFonts w:ascii="仿宋" w:hAnsi="仿宋" w:eastAsia="仿宋" w:cs="仿宋"/>
          <w:color w:val="auto"/>
          <w:highlight w:val="none"/>
        </w:rPr>
      </w:pPr>
      <w:r>
        <w:rPr>
          <w:rFonts w:hint="eastAsia" w:ascii="仿宋" w:hAnsi="仿宋" w:eastAsia="仿宋" w:cs="仿宋"/>
          <w:b/>
          <w:color w:val="auto"/>
          <w:highlight w:val="none"/>
        </w:rPr>
        <w:t>5.废标。</w:t>
      </w:r>
      <w:r>
        <w:rPr>
          <w:rFonts w:hint="eastAsia" w:ascii="仿宋" w:hAnsi="仿宋" w:eastAsia="仿宋" w:cs="仿宋"/>
          <w:color w:val="auto"/>
          <w:highlight w:val="none"/>
        </w:rPr>
        <w:t>根据《中华人民共和国政府采购法》第三十六条之规定，在采购中，出现下列情形之一的，应予废标：</w:t>
      </w:r>
    </w:p>
    <w:p w14:paraId="6F3E0DE4">
      <w:pPr>
        <w:pStyle w:val="24"/>
        <w:snapToGrid w:val="0"/>
        <w:spacing w:line="570" w:lineRule="exact"/>
        <w:rPr>
          <w:rFonts w:ascii="仿宋" w:hAnsi="仿宋" w:eastAsia="仿宋" w:cs="仿宋"/>
          <w:color w:val="auto"/>
          <w:highlight w:val="none"/>
        </w:rPr>
      </w:pPr>
      <w:r>
        <w:rPr>
          <w:rFonts w:hint="eastAsia" w:ascii="仿宋" w:hAnsi="仿宋" w:eastAsia="仿宋" w:cs="仿宋"/>
          <w:color w:val="auto"/>
          <w:highlight w:val="none"/>
        </w:rPr>
        <w:t>5.1符合专业条件的供应商或者对交易文件作实质响应的供应商不足3家的；</w:t>
      </w:r>
    </w:p>
    <w:p w14:paraId="7830994B">
      <w:pPr>
        <w:pStyle w:val="24"/>
        <w:snapToGrid w:val="0"/>
        <w:spacing w:line="570" w:lineRule="exact"/>
        <w:rPr>
          <w:rFonts w:ascii="仿宋" w:hAnsi="仿宋" w:eastAsia="仿宋" w:cs="仿宋"/>
          <w:color w:val="auto"/>
          <w:highlight w:val="none"/>
        </w:rPr>
      </w:pPr>
      <w:r>
        <w:rPr>
          <w:rFonts w:hint="eastAsia" w:ascii="仿宋" w:hAnsi="仿宋" w:eastAsia="仿宋" w:cs="仿宋"/>
          <w:color w:val="auto"/>
          <w:highlight w:val="none"/>
        </w:rPr>
        <w:t>5.2出现影响采购公正的违法、违规行为的；</w:t>
      </w:r>
    </w:p>
    <w:p w14:paraId="67E452F5">
      <w:pPr>
        <w:pStyle w:val="24"/>
        <w:snapToGrid w:val="0"/>
        <w:spacing w:line="570" w:lineRule="exact"/>
        <w:rPr>
          <w:rFonts w:ascii="仿宋" w:hAnsi="仿宋" w:eastAsia="仿宋" w:cs="仿宋"/>
          <w:color w:val="auto"/>
          <w:highlight w:val="none"/>
        </w:rPr>
      </w:pPr>
      <w:r>
        <w:rPr>
          <w:rFonts w:hint="eastAsia" w:ascii="仿宋" w:hAnsi="仿宋" w:eastAsia="仿宋" w:cs="仿宋"/>
          <w:color w:val="auto"/>
          <w:highlight w:val="none"/>
        </w:rPr>
        <w:t>5.3供应商的报价均超过了采购预算，交易发起人不能支付的；</w:t>
      </w:r>
    </w:p>
    <w:p w14:paraId="269995FB">
      <w:pPr>
        <w:pStyle w:val="24"/>
        <w:snapToGrid w:val="0"/>
        <w:spacing w:line="570" w:lineRule="exact"/>
        <w:rPr>
          <w:rFonts w:ascii="仿宋" w:hAnsi="仿宋" w:eastAsia="仿宋" w:cs="仿宋"/>
          <w:color w:val="auto"/>
          <w:highlight w:val="none"/>
        </w:rPr>
      </w:pPr>
      <w:r>
        <w:rPr>
          <w:rFonts w:hint="eastAsia" w:ascii="仿宋" w:hAnsi="仿宋" w:eastAsia="仿宋" w:cs="仿宋"/>
          <w:color w:val="auto"/>
          <w:highlight w:val="none"/>
        </w:rPr>
        <w:t>5.4因重大变故，采购任务取消的。</w:t>
      </w:r>
    </w:p>
    <w:p w14:paraId="39012BE0">
      <w:pPr>
        <w:pStyle w:val="24"/>
        <w:snapToGrid w:val="0"/>
        <w:spacing w:line="570" w:lineRule="exact"/>
        <w:rPr>
          <w:rFonts w:ascii="仿宋" w:hAnsi="仿宋" w:eastAsia="仿宋" w:cs="仿宋"/>
          <w:color w:val="auto"/>
          <w:highlight w:val="none"/>
        </w:rPr>
      </w:pPr>
      <w:r>
        <w:rPr>
          <w:rFonts w:hint="eastAsia" w:ascii="仿宋" w:hAnsi="仿宋" w:eastAsia="仿宋" w:cs="仿宋"/>
          <w:color w:val="auto"/>
          <w:highlight w:val="none"/>
        </w:rPr>
        <w:t>废标后，采购机构应当将废标理由通知所有供应商。</w:t>
      </w:r>
    </w:p>
    <w:p w14:paraId="31276A8C">
      <w:pPr>
        <w:pStyle w:val="24"/>
        <w:snapToGrid w:val="0"/>
        <w:spacing w:line="570" w:lineRule="exact"/>
        <w:ind w:firstLine="590" w:firstLineChars="245"/>
        <w:rPr>
          <w:rFonts w:ascii="仿宋" w:hAnsi="仿宋" w:eastAsia="仿宋" w:cs="仿宋"/>
          <w:color w:val="auto"/>
          <w:highlight w:val="none"/>
        </w:rPr>
      </w:pPr>
      <w:r>
        <w:rPr>
          <w:rFonts w:hint="eastAsia" w:ascii="仿宋" w:hAnsi="仿宋" w:eastAsia="仿宋" w:cs="仿宋"/>
          <w:b/>
          <w:color w:val="auto"/>
          <w:highlight w:val="none"/>
        </w:rPr>
        <w:t>6.修改交易文件，重新组织采购活动。</w:t>
      </w:r>
      <w:r>
        <w:rPr>
          <w:rFonts w:hint="eastAsia" w:ascii="仿宋" w:hAnsi="仿宋" w:eastAsia="仿宋" w:cs="仿宋"/>
          <w:color w:val="auto"/>
          <w:highlight w:val="none"/>
        </w:rPr>
        <w:t>评标委员会发现交易文件存在歧义、重大缺陷导致评标工作无法进行，或者交易文件内容违反国家有关强制性规定的，将停止评标工作，并与交易发起人、采购机构沟通并作书面记录。交易发起人、采购机构确认后，将修改交易文件，重新组织采购活动。</w:t>
      </w:r>
    </w:p>
    <w:p w14:paraId="1101A875">
      <w:pPr>
        <w:pStyle w:val="24"/>
        <w:snapToGrid w:val="0"/>
        <w:spacing w:line="570" w:lineRule="exact"/>
        <w:ind w:firstLine="590" w:firstLineChars="245"/>
        <w:rPr>
          <w:rFonts w:ascii="仿宋" w:hAnsi="仿宋" w:eastAsia="仿宋" w:cs="仿宋"/>
          <w:color w:val="auto"/>
          <w:highlight w:val="none"/>
        </w:rPr>
      </w:pPr>
      <w:r>
        <w:rPr>
          <w:rFonts w:hint="eastAsia" w:ascii="仿宋" w:hAnsi="仿宋" w:eastAsia="仿宋" w:cs="仿宋"/>
          <w:b/>
          <w:color w:val="auto"/>
          <w:kern w:val="0"/>
          <w:highlight w:val="none"/>
        </w:rPr>
        <w:t>7.重新开展采购。</w:t>
      </w:r>
      <w:r>
        <w:rPr>
          <w:rFonts w:hint="eastAsia" w:ascii="仿宋" w:hAnsi="仿宋" w:eastAsia="仿宋" w:cs="仿宋"/>
          <w:color w:val="auto"/>
          <w:highlight w:val="none"/>
        </w:rPr>
        <w:t>有政府采购法第七十一条、第七十二条规定的违法行为之一，影响或者可能影响成交、成交结果的，依照下列规定处理：</w:t>
      </w:r>
    </w:p>
    <w:p w14:paraId="19FA1B1E">
      <w:pPr>
        <w:pStyle w:val="24"/>
        <w:snapToGrid w:val="0"/>
        <w:spacing w:line="570" w:lineRule="exact"/>
        <w:ind w:firstLine="600" w:firstLineChars="250"/>
        <w:rPr>
          <w:rFonts w:ascii="仿宋" w:hAnsi="仿宋" w:eastAsia="仿宋" w:cs="仿宋"/>
          <w:color w:val="auto"/>
          <w:highlight w:val="none"/>
        </w:rPr>
      </w:pPr>
      <w:r>
        <w:rPr>
          <w:rFonts w:hint="eastAsia" w:ascii="仿宋" w:hAnsi="仿宋" w:eastAsia="仿宋" w:cs="仿宋"/>
          <w:color w:val="auto"/>
          <w:highlight w:val="none"/>
        </w:rPr>
        <w:t>7.1未确定成交或者成交人的，终止本次政府采购活动，重新开展政府采购活动。</w:t>
      </w:r>
    </w:p>
    <w:p w14:paraId="289D0ADE">
      <w:pPr>
        <w:pStyle w:val="24"/>
        <w:snapToGrid w:val="0"/>
        <w:spacing w:line="570" w:lineRule="exact"/>
        <w:ind w:firstLine="600" w:firstLineChars="250"/>
        <w:rPr>
          <w:rFonts w:ascii="仿宋" w:hAnsi="仿宋" w:eastAsia="仿宋" w:cs="仿宋"/>
          <w:color w:val="auto"/>
          <w:highlight w:val="none"/>
        </w:rPr>
      </w:pPr>
      <w:r>
        <w:rPr>
          <w:rFonts w:hint="eastAsia" w:ascii="仿宋" w:hAnsi="仿宋" w:eastAsia="仿宋" w:cs="仿宋"/>
          <w:color w:val="auto"/>
          <w:highlight w:val="none"/>
        </w:rPr>
        <w:t>7.2已确定成交或者成交人但尚未签订政府采购合同的，成交或者成交结果无效，从合格的成交或者成交候选人中另行确定成交或者成交人；没有合格的成交或者成交候选人的，重新开展政府采购活动。</w:t>
      </w:r>
    </w:p>
    <w:p w14:paraId="20B93A40">
      <w:pPr>
        <w:pStyle w:val="24"/>
        <w:snapToGrid w:val="0"/>
        <w:spacing w:line="570" w:lineRule="exact"/>
        <w:ind w:firstLine="600" w:firstLineChars="250"/>
        <w:rPr>
          <w:rFonts w:ascii="仿宋" w:hAnsi="仿宋" w:eastAsia="仿宋" w:cs="仿宋"/>
          <w:color w:val="auto"/>
          <w:highlight w:val="none"/>
        </w:rPr>
      </w:pPr>
      <w:r>
        <w:rPr>
          <w:rFonts w:hint="eastAsia" w:ascii="仿宋" w:hAnsi="仿宋" w:eastAsia="仿宋" w:cs="仿宋"/>
          <w:color w:val="auto"/>
          <w:highlight w:val="none"/>
        </w:rPr>
        <w:t>7.3采购合同已签订但尚未履行的，撤销合同，从合格的成交或者成交候选人中另行确定成交或者成交人；没有合格的成交或者成交候选人的，重新开展政府采购活动。</w:t>
      </w:r>
    </w:p>
    <w:p w14:paraId="73EA88A7">
      <w:pPr>
        <w:pStyle w:val="24"/>
        <w:snapToGrid w:val="0"/>
        <w:spacing w:line="570" w:lineRule="exact"/>
        <w:rPr>
          <w:rFonts w:ascii="仿宋" w:hAnsi="仿宋" w:eastAsia="仿宋" w:cs="仿宋"/>
          <w:color w:val="auto"/>
          <w:highlight w:val="none"/>
        </w:rPr>
      </w:pPr>
      <w:r>
        <w:rPr>
          <w:rFonts w:hint="eastAsia" w:ascii="仿宋" w:hAnsi="仿宋" w:eastAsia="仿宋" w:cs="仿宋"/>
          <w:color w:val="auto"/>
          <w:highlight w:val="none"/>
        </w:rPr>
        <w:t>7.4采购合同已经履行，给交易发起人、供应商造成损失的，由责任人承担赔偿责任。</w:t>
      </w:r>
    </w:p>
    <w:p w14:paraId="6FEB8DEF">
      <w:pPr>
        <w:pStyle w:val="24"/>
        <w:snapToGrid w:val="0"/>
        <w:spacing w:line="570" w:lineRule="exact"/>
        <w:rPr>
          <w:rFonts w:ascii="仿宋" w:hAnsi="仿宋" w:eastAsia="仿宋" w:cs="仿宋"/>
          <w:color w:val="auto"/>
          <w:highlight w:val="none"/>
        </w:rPr>
      </w:pPr>
      <w:r>
        <w:rPr>
          <w:rFonts w:hint="eastAsia" w:ascii="仿宋" w:hAnsi="仿宋" w:eastAsia="仿宋" w:cs="仿宋"/>
          <w:color w:val="auto"/>
          <w:highlight w:val="none"/>
        </w:rPr>
        <w:t>7.5采购当事人有其他违反政府采购法</w:t>
      </w:r>
      <w:r>
        <w:rPr>
          <w:rFonts w:hint="eastAsia" w:ascii="仿宋" w:hAnsi="仿宋" w:eastAsia="仿宋" w:cs="仿宋"/>
          <w:color w:val="auto"/>
          <w:kern w:val="0"/>
          <w:highlight w:val="none"/>
        </w:rPr>
        <w:t>或者政府采购法实施条例等法律法规规定</w:t>
      </w:r>
      <w:r>
        <w:rPr>
          <w:rFonts w:hint="eastAsia" w:ascii="仿宋" w:hAnsi="仿宋" w:eastAsia="仿宋" w:cs="仿宋"/>
          <w:color w:val="auto"/>
          <w:highlight w:val="none"/>
        </w:rPr>
        <w:t>的行为，经改正后仍然影响或者可能影响成交、成交结果或者依法被认定为成交、成交无效的，依照7.1-7.4规定处理。</w:t>
      </w:r>
    </w:p>
    <w:p w14:paraId="17BE3A23">
      <w:pPr>
        <w:widowControl/>
        <w:spacing w:line="360" w:lineRule="auto"/>
        <w:rPr>
          <w:rFonts w:ascii="仿宋" w:hAnsi="仿宋" w:eastAsia="仿宋" w:cs="仿宋"/>
          <w:color w:val="auto"/>
          <w:sz w:val="24"/>
          <w:highlight w:val="none"/>
        </w:rPr>
      </w:pPr>
    </w:p>
    <w:p w14:paraId="14DF18C3">
      <w:pPr>
        <w:widowControl/>
        <w:adjustRightInd/>
        <w:jc w:val="left"/>
        <w:rPr>
          <w:rFonts w:ascii="仿宋" w:hAnsi="仿宋" w:eastAsia="仿宋" w:cs="仿宋"/>
          <w:b/>
          <w:color w:val="auto"/>
          <w:sz w:val="32"/>
          <w:highlight w:val="none"/>
        </w:rPr>
      </w:pPr>
    </w:p>
    <w:bookmarkEnd w:id="40"/>
    <w:p w14:paraId="7635ED8C">
      <w:pPr>
        <w:spacing w:line="360" w:lineRule="auto"/>
        <w:ind w:left="720" w:leftChars="343" w:firstLine="1084" w:firstLineChars="300"/>
        <w:outlineLvl w:val="0"/>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第五部分 拟签订的合同文本</w:t>
      </w:r>
    </w:p>
    <w:p w14:paraId="154155F5">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（服务类样本）</w:t>
      </w:r>
    </w:p>
    <w:p w14:paraId="5174DEF8">
      <w:pPr>
        <w:rPr>
          <w:rFonts w:ascii="仿宋" w:hAnsi="仿宋" w:eastAsia="仿宋" w:cs="仿宋"/>
          <w:color w:val="auto"/>
          <w:highlight w:val="none"/>
        </w:rPr>
      </w:pPr>
    </w:p>
    <w:p w14:paraId="2B4BF20E">
      <w:pPr>
        <w:rPr>
          <w:rFonts w:ascii="仿宋" w:hAnsi="仿宋" w:eastAsia="仿宋" w:cs="仿宋"/>
          <w:color w:val="auto"/>
          <w:highlight w:val="none"/>
        </w:rPr>
      </w:pPr>
    </w:p>
    <w:p w14:paraId="3F6B33DB">
      <w:pPr>
        <w:rPr>
          <w:rFonts w:ascii="仿宋" w:hAnsi="仿宋" w:eastAsia="仿宋" w:cs="仿宋"/>
          <w:color w:val="auto"/>
          <w:highlight w:val="none"/>
        </w:rPr>
      </w:pPr>
    </w:p>
    <w:p w14:paraId="1CAC1A4B">
      <w:pPr>
        <w:rPr>
          <w:rFonts w:ascii="仿宋" w:hAnsi="仿宋" w:eastAsia="仿宋" w:cs="仿宋"/>
          <w:color w:val="auto"/>
          <w:highlight w:val="none"/>
        </w:rPr>
      </w:pPr>
    </w:p>
    <w:p w14:paraId="3D4B1652">
      <w:pPr>
        <w:rPr>
          <w:rFonts w:ascii="仿宋" w:hAnsi="仿宋" w:eastAsia="仿宋" w:cs="仿宋"/>
          <w:color w:val="auto"/>
          <w:highlight w:val="none"/>
        </w:rPr>
      </w:pPr>
    </w:p>
    <w:p w14:paraId="758101A4">
      <w:pPr>
        <w:adjustRightInd w:val="0"/>
        <w:snapToGrid w:val="0"/>
        <w:spacing w:line="312" w:lineRule="auto"/>
        <w:ind w:firstLine="353" w:firstLineChars="80"/>
        <w:jc w:val="center"/>
        <w:rPr>
          <w:rFonts w:hint="default" w:ascii="黑体" w:eastAsia="黑体"/>
          <w:b/>
          <w:bCs/>
          <w:color w:val="auto"/>
          <w:sz w:val="44"/>
          <w:highlight w:val="none"/>
        </w:rPr>
      </w:pPr>
      <w:r>
        <w:rPr>
          <w:rFonts w:ascii="黑体" w:eastAsia="黑体"/>
          <w:b/>
          <w:bCs/>
          <w:color w:val="auto"/>
          <w:sz w:val="44"/>
          <w:highlight w:val="none"/>
        </w:rPr>
        <w:t>技术服务合同</w:t>
      </w:r>
    </w:p>
    <w:p w14:paraId="60FCE656">
      <w:pPr>
        <w:adjustRightInd w:val="0"/>
        <w:snapToGrid w:val="0"/>
        <w:spacing w:line="312" w:lineRule="auto"/>
        <w:rPr>
          <w:rFonts w:hint="default"/>
          <w:color w:val="auto"/>
          <w:sz w:val="36"/>
          <w:highlight w:val="none"/>
        </w:rPr>
      </w:pPr>
    </w:p>
    <w:p w14:paraId="0C0E7BDE">
      <w:pPr>
        <w:adjustRightInd w:val="0"/>
        <w:snapToGrid w:val="0"/>
        <w:spacing w:line="312" w:lineRule="auto"/>
        <w:ind w:firstLine="900" w:firstLineChars="300"/>
        <w:rPr>
          <w:rFonts w:hint="default"/>
          <w:color w:val="auto"/>
          <w:sz w:val="30"/>
          <w:highlight w:val="none"/>
        </w:rPr>
      </w:pPr>
    </w:p>
    <w:p w14:paraId="71CB39DA">
      <w:pPr>
        <w:adjustRightInd w:val="0"/>
        <w:snapToGrid w:val="0"/>
        <w:spacing w:line="312" w:lineRule="auto"/>
        <w:rPr>
          <w:rFonts w:hint="default"/>
          <w:color w:val="auto"/>
          <w:sz w:val="30"/>
          <w:highlight w:val="none"/>
        </w:rPr>
      </w:pPr>
    </w:p>
    <w:p w14:paraId="4A4E4783">
      <w:pPr>
        <w:adjustRightInd w:val="0"/>
        <w:snapToGrid w:val="0"/>
        <w:spacing w:before="62" w:beforeLines="20" w:line="480" w:lineRule="auto"/>
        <w:ind w:left="1691" w:leftChars="25" w:hanging="1638" w:hangingChars="544"/>
        <w:jc w:val="left"/>
        <w:rPr>
          <w:rFonts w:hint="default" w:ascii="宋体" w:hAnsi="宋体"/>
          <w:b/>
          <w:bCs/>
          <w:color w:val="auto"/>
          <w:sz w:val="30"/>
          <w:highlight w:val="none"/>
          <w:u w:val="single"/>
        </w:rPr>
      </w:pPr>
      <w:r>
        <w:rPr>
          <w:rFonts w:ascii="宋体" w:hAnsi="宋体"/>
          <w:b/>
          <w:bCs/>
          <w:color w:val="auto"/>
          <w:sz w:val="30"/>
          <w:highlight w:val="none"/>
        </w:rPr>
        <w:t>项目名称：</w:t>
      </w:r>
      <w:bookmarkStart w:id="408" w:name="OLE_LINK83"/>
      <w:bookmarkStart w:id="409" w:name="OLE_LINK82"/>
      <w:r>
        <w:rPr>
          <w:rFonts w:ascii="宋体" w:hAnsi="宋体" w:cs="宋体"/>
          <w:b/>
          <w:bCs/>
          <w:color w:val="auto"/>
          <w:sz w:val="30"/>
          <w:highlight w:val="none"/>
          <w:u w:val="single"/>
        </w:rPr>
        <w:t>萧彩街公共人行天桥项目施工监控及成桥荷载试验</w:t>
      </w:r>
      <w:bookmarkEnd w:id="408"/>
      <w:bookmarkEnd w:id="409"/>
      <w:r>
        <w:rPr>
          <w:rFonts w:ascii="宋体" w:hAnsi="宋体"/>
          <w:b/>
          <w:bCs/>
          <w:color w:val="auto"/>
          <w:sz w:val="30"/>
          <w:highlight w:val="none"/>
          <w:u w:val="single"/>
        </w:rPr>
        <w:t xml:space="preserve"> </w:t>
      </w:r>
    </w:p>
    <w:p w14:paraId="4F16CF7B">
      <w:pPr>
        <w:adjustRightInd w:val="0"/>
        <w:snapToGrid w:val="0"/>
        <w:spacing w:before="20" w:line="480" w:lineRule="auto"/>
        <w:rPr>
          <w:rFonts w:hint="default" w:ascii="宋体" w:hAnsi="宋体"/>
          <w:b/>
          <w:bCs/>
          <w:color w:val="auto"/>
          <w:sz w:val="30"/>
          <w:highlight w:val="none"/>
          <w:u w:val="single"/>
        </w:rPr>
      </w:pPr>
      <w:r>
        <w:rPr>
          <w:rFonts w:ascii="宋体" w:hAnsi="宋体"/>
          <w:b/>
          <w:bCs/>
          <w:color w:val="auto"/>
          <w:sz w:val="30"/>
          <w:highlight w:val="none"/>
        </w:rPr>
        <w:t>委托方（甲方）：</w:t>
      </w:r>
      <w:r>
        <w:rPr>
          <w:rFonts w:ascii="宋体" w:hAnsi="宋体"/>
          <w:b/>
          <w:bCs/>
          <w:color w:val="auto"/>
          <w:sz w:val="30"/>
          <w:highlight w:val="none"/>
          <w:u w:val="single"/>
        </w:rPr>
        <w:t xml:space="preserve">  </w:t>
      </w:r>
      <w:bookmarkStart w:id="410" w:name="OLE_LINK80"/>
      <w:bookmarkStart w:id="411" w:name="OLE_LINK81"/>
      <w:r>
        <w:rPr>
          <w:rFonts w:ascii="宋体" w:hAnsi="宋体" w:cs="宋体"/>
          <w:b/>
          <w:bCs/>
          <w:color w:val="auto"/>
          <w:sz w:val="30"/>
          <w:highlight w:val="none"/>
          <w:u w:val="single"/>
        </w:rPr>
        <w:t>杭州萧山城市基础设施建设有限公司</w:t>
      </w:r>
      <w:bookmarkEnd w:id="410"/>
      <w:bookmarkEnd w:id="411"/>
      <w:r>
        <w:rPr>
          <w:rFonts w:ascii="宋体" w:hAnsi="宋体" w:cs="宋体"/>
          <w:b/>
          <w:bCs/>
          <w:color w:val="auto"/>
          <w:sz w:val="30"/>
          <w:highlight w:val="none"/>
          <w:u w:val="single"/>
        </w:rPr>
        <w:t xml:space="preserve">  </w:t>
      </w:r>
      <w:r>
        <w:rPr>
          <w:rFonts w:ascii="宋体" w:hAnsi="宋体"/>
          <w:b/>
          <w:bCs/>
          <w:color w:val="auto"/>
          <w:sz w:val="30"/>
          <w:highlight w:val="none"/>
          <w:u w:val="single"/>
        </w:rPr>
        <w:t xml:space="preserve"> </w:t>
      </w:r>
    </w:p>
    <w:p w14:paraId="4E1A8253">
      <w:pPr>
        <w:adjustRightInd w:val="0"/>
        <w:snapToGrid w:val="0"/>
        <w:spacing w:before="20" w:line="480" w:lineRule="auto"/>
        <w:rPr>
          <w:rFonts w:hint="default" w:ascii="宋体" w:hAnsi="宋体"/>
          <w:b/>
          <w:bCs/>
          <w:color w:val="auto"/>
          <w:sz w:val="30"/>
          <w:highlight w:val="none"/>
          <w:u w:val="single"/>
        </w:rPr>
      </w:pPr>
      <w:r>
        <w:rPr>
          <w:rFonts w:ascii="宋体" w:hAnsi="宋体"/>
          <w:b/>
          <w:bCs/>
          <w:color w:val="auto"/>
          <w:sz w:val="30"/>
          <w:highlight w:val="none"/>
        </w:rPr>
        <w:t>受托方（乙方）：</w:t>
      </w:r>
      <w:r>
        <w:rPr>
          <w:rFonts w:ascii="宋体" w:hAnsi="宋体"/>
          <w:b/>
          <w:bCs/>
          <w:color w:val="auto"/>
          <w:sz w:val="30"/>
          <w:highlight w:val="none"/>
          <w:u w:val="single"/>
        </w:rPr>
        <w:t xml:space="preserve">                         </w:t>
      </w:r>
      <w:r>
        <w:rPr>
          <w:rFonts w:hint="default" w:ascii="宋体" w:hAnsi="宋体"/>
          <w:b/>
          <w:bCs/>
          <w:color w:val="auto"/>
          <w:sz w:val="30"/>
          <w:highlight w:val="none"/>
          <w:u w:val="single"/>
        </w:rPr>
        <w:t xml:space="preserve">   </w:t>
      </w:r>
      <w:r>
        <w:rPr>
          <w:rFonts w:ascii="宋体" w:hAnsi="宋体"/>
          <w:b/>
          <w:bCs/>
          <w:color w:val="auto"/>
          <w:sz w:val="30"/>
          <w:highlight w:val="none"/>
          <w:u w:val="single"/>
        </w:rPr>
        <w:t xml:space="preserve">         </w:t>
      </w:r>
    </w:p>
    <w:p w14:paraId="748A7A8B">
      <w:pPr>
        <w:adjustRightInd w:val="0"/>
        <w:snapToGrid w:val="0"/>
        <w:spacing w:before="20" w:line="480" w:lineRule="auto"/>
        <w:rPr>
          <w:rFonts w:hint="default" w:ascii="宋体" w:hAnsi="宋体"/>
          <w:b/>
          <w:bCs/>
          <w:color w:val="auto"/>
          <w:sz w:val="30"/>
          <w:highlight w:val="none"/>
        </w:rPr>
      </w:pPr>
      <w:r>
        <w:rPr>
          <w:rFonts w:ascii="宋体" w:hAnsi="宋体"/>
          <w:b/>
          <w:bCs/>
          <w:color w:val="auto"/>
          <w:sz w:val="30"/>
          <w:highlight w:val="none"/>
        </w:rPr>
        <w:t>签订时间：</w:t>
      </w:r>
      <w:r>
        <w:rPr>
          <w:rFonts w:ascii="宋体" w:hAnsi="宋体"/>
          <w:b/>
          <w:bCs/>
          <w:color w:val="auto"/>
          <w:sz w:val="30"/>
          <w:highlight w:val="none"/>
          <w:u w:val="single"/>
        </w:rPr>
        <w:t xml:space="preserve">                                          </w:t>
      </w:r>
    </w:p>
    <w:p w14:paraId="0B8E35EF">
      <w:pPr>
        <w:adjustRightInd w:val="0"/>
        <w:snapToGrid w:val="0"/>
        <w:spacing w:before="20" w:line="480" w:lineRule="auto"/>
        <w:rPr>
          <w:rFonts w:hint="default" w:ascii="宋体" w:hAnsi="宋体"/>
          <w:b/>
          <w:bCs/>
          <w:color w:val="auto"/>
          <w:sz w:val="30"/>
          <w:highlight w:val="none"/>
        </w:rPr>
      </w:pPr>
      <w:r>
        <w:rPr>
          <w:rFonts w:ascii="宋体" w:hAnsi="宋体"/>
          <w:b/>
          <w:bCs/>
          <w:color w:val="auto"/>
          <w:sz w:val="30"/>
          <w:highlight w:val="none"/>
        </w:rPr>
        <w:t>签订地点：</w:t>
      </w:r>
      <w:r>
        <w:rPr>
          <w:rFonts w:ascii="宋体" w:hAnsi="宋体"/>
          <w:b/>
          <w:bCs/>
          <w:color w:val="auto"/>
          <w:sz w:val="30"/>
          <w:highlight w:val="none"/>
          <w:u w:val="single"/>
        </w:rPr>
        <w:t xml:space="preserve"> </w:t>
      </w:r>
      <w:r>
        <w:rPr>
          <w:rFonts w:hint="default" w:ascii="宋体" w:hAnsi="宋体"/>
          <w:b/>
          <w:bCs/>
          <w:color w:val="auto"/>
          <w:sz w:val="30"/>
          <w:highlight w:val="none"/>
          <w:u w:val="single"/>
        </w:rPr>
        <w:t xml:space="preserve">     </w:t>
      </w:r>
      <w:r>
        <w:rPr>
          <w:rFonts w:ascii="宋体" w:hAnsi="宋体"/>
          <w:b/>
          <w:bCs/>
          <w:color w:val="auto"/>
          <w:sz w:val="30"/>
          <w:highlight w:val="none"/>
          <w:u w:val="single"/>
        </w:rPr>
        <w:t xml:space="preserve">浙江省杭州市                        </w:t>
      </w:r>
    </w:p>
    <w:p w14:paraId="28F92647">
      <w:pPr>
        <w:adjustRightInd w:val="0"/>
        <w:snapToGrid w:val="0"/>
        <w:spacing w:before="20" w:line="480" w:lineRule="auto"/>
        <w:rPr>
          <w:rFonts w:hint="default" w:ascii="宋体" w:hAnsi="宋体"/>
          <w:b/>
          <w:bCs/>
          <w:color w:val="auto"/>
          <w:sz w:val="30"/>
          <w:highlight w:val="none"/>
        </w:rPr>
      </w:pPr>
      <w:r>
        <w:rPr>
          <w:rFonts w:ascii="宋体" w:hAnsi="宋体"/>
          <w:b/>
          <w:bCs/>
          <w:color w:val="auto"/>
          <w:sz w:val="30"/>
          <w:highlight w:val="none"/>
        </w:rPr>
        <w:t>有效期限：</w:t>
      </w:r>
      <w:r>
        <w:rPr>
          <w:rFonts w:ascii="宋体" w:hAnsi="宋体"/>
          <w:b/>
          <w:bCs/>
          <w:color w:val="auto"/>
          <w:sz w:val="30"/>
          <w:szCs w:val="32"/>
          <w:highlight w:val="none"/>
          <w:u w:val="single"/>
        </w:rPr>
        <w:t xml:space="preserve">                                          </w:t>
      </w:r>
    </w:p>
    <w:p w14:paraId="3FF8DE60">
      <w:pPr>
        <w:adjustRightInd w:val="0"/>
        <w:snapToGrid w:val="0"/>
        <w:spacing w:line="312" w:lineRule="auto"/>
        <w:rPr>
          <w:rFonts w:hint="default"/>
          <w:b/>
          <w:bCs/>
          <w:color w:val="auto"/>
          <w:sz w:val="30"/>
          <w:highlight w:val="none"/>
        </w:rPr>
      </w:pPr>
    </w:p>
    <w:p w14:paraId="4CE38097">
      <w:pPr>
        <w:adjustRightInd w:val="0"/>
        <w:snapToGrid w:val="0"/>
        <w:spacing w:before="405" w:beforeLines="130" w:line="288" w:lineRule="auto"/>
        <w:ind w:firstLine="337" w:firstLineChars="112"/>
        <w:jc w:val="center"/>
        <w:rPr>
          <w:rFonts w:hint="default"/>
          <w:b/>
          <w:bCs/>
          <w:color w:val="auto"/>
          <w:sz w:val="30"/>
          <w:highlight w:val="none"/>
        </w:rPr>
      </w:pPr>
    </w:p>
    <w:p w14:paraId="6B6522DC">
      <w:pPr>
        <w:adjustRightInd w:val="0"/>
        <w:snapToGrid w:val="0"/>
        <w:spacing w:before="405" w:beforeLines="130" w:line="288" w:lineRule="auto"/>
        <w:ind w:firstLine="337" w:firstLineChars="112"/>
        <w:jc w:val="center"/>
        <w:rPr>
          <w:rFonts w:hint="default" w:ascii="黑体" w:eastAsia="黑体"/>
          <w:b/>
          <w:bCs/>
          <w:color w:val="auto"/>
          <w:sz w:val="30"/>
          <w:highlight w:val="none"/>
        </w:rPr>
      </w:pPr>
      <w:r>
        <w:rPr>
          <w:rFonts w:ascii="黑体" w:eastAsia="黑体"/>
          <w:b/>
          <w:bCs/>
          <w:color w:val="auto"/>
          <w:sz w:val="30"/>
          <w:highlight w:val="none"/>
        </w:rPr>
        <w:t>中华人民共和国科学技术部印制</w:t>
      </w:r>
    </w:p>
    <w:p w14:paraId="787A57E4">
      <w:pPr>
        <w:adjustRightInd w:val="0"/>
        <w:snapToGrid w:val="0"/>
        <w:spacing w:before="405" w:beforeLines="130" w:line="288" w:lineRule="auto"/>
        <w:rPr>
          <w:rFonts w:hint="default"/>
          <w:color w:val="auto"/>
          <w:sz w:val="44"/>
          <w:highlight w:val="none"/>
        </w:rPr>
      </w:pPr>
    </w:p>
    <w:p w14:paraId="73E1D9F0">
      <w:pPr>
        <w:adjustRightInd w:val="0"/>
        <w:snapToGrid w:val="0"/>
        <w:spacing w:before="405" w:beforeLines="130" w:line="288" w:lineRule="auto"/>
        <w:rPr>
          <w:rFonts w:hint="default"/>
          <w:color w:val="auto"/>
          <w:sz w:val="44"/>
          <w:highlight w:val="none"/>
        </w:rPr>
      </w:pPr>
    </w:p>
    <w:p w14:paraId="0D1E0C04">
      <w:pPr>
        <w:adjustRightInd w:val="0"/>
        <w:snapToGrid w:val="0"/>
        <w:spacing w:before="405" w:beforeLines="130" w:line="288" w:lineRule="auto"/>
        <w:rPr>
          <w:color w:val="auto"/>
          <w:sz w:val="44"/>
          <w:highlight w:val="none"/>
        </w:rPr>
      </w:pPr>
    </w:p>
    <w:p w14:paraId="40FB6FB2">
      <w:pPr>
        <w:jc w:val="center"/>
        <w:rPr>
          <w:rFonts w:hint="default" w:ascii="黑体" w:eastAsia="黑体"/>
          <w:color w:val="auto"/>
          <w:sz w:val="44"/>
          <w:highlight w:val="none"/>
        </w:rPr>
      </w:pPr>
      <w:r>
        <w:rPr>
          <w:rFonts w:ascii="黑体" w:eastAsia="黑体"/>
          <w:color w:val="auto"/>
          <w:sz w:val="44"/>
          <w:highlight w:val="none"/>
        </w:rPr>
        <w:t>填 写 说 明</w:t>
      </w:r>
    </w:p>
    <w:p w14:paraId="7331426A">
      <w:pPr>
        <w:adjustRightInd w:val="0"/>
        <w:snapToGrid w:val="0"/>
        <w:jc w:val="center"/>
        <w:rPr>
          <w:rFonts w:hint="default"/>
          <w:color w:val="auto"/>
          <w:sz w:val="44"/>
          <w:highlight w:val="none"/>
        </w:rPr>
      </w:pPr>
    </w:p>
    <w:p w14:paraId="0DE0218F">
      <w:pPr>
        <w:adjustRightInd w:val="0"/>
        <w:snapToGrid w:val="0"/>
        <w:spacing w:line="360" w:lineRule="auto"/>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一、本合同为中华人民共和国科学技术部印制的技术咨询服务合同示范文本，各技术合同登记机构可推介技术合同当事人参照使用。</w:t>
      </w:r>
    </w:p>
    <w:p w14:paraId="583C331B">
      <w:pPr>
        <w:pStyle w:val="22"/>
        <w:spacing w:line="360" w:lineRule="auto"/>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二、本合同书适用于一方当事人（受托方）以技术知识为另一方（委托方）解决特定技术问题所订立的合同。</w:t>
      </w:r>
    </w:p>
    <w:p w14:paraId="19C1610D">
      <w:pPr>
        <w:adjustRightInd w:val="0"/>
        <w:snapToGrid w:val="0"/>
        <w:spacing w:line="360" w:lineRule="auto"/>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三、签约一方为多个当事人的，可按各自在合同关系中的作用等，在“委托方”、“受托方”项下（增页）分别排列为共同委托人或共同受托人。</w:t>
      </w:r>
    </w:p>
    <w:p w14:paraId="64BB9D58">
      <w:pPr>
        <w:adjustRightInd w:val="0"/>
        <w:snapToGrid w:val="0"/>
        <w:spacing w:line="360" w:lineRule="auto"/>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四、本合同书未尽事项，可由当事人附页另行约定，并作为本合同的组成部分。</w:t>
      </w:r>
    </w:p>
    <w:p w14:paraId="3A25C886">
      <w:pPr>
        <w:adjustRightInd w:val="0"/>
        <w:snapToGrid w:val="0"/>
        <w:spacing w:line="360" w:lineRule="auto"/>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五、当事人使用本合同书时约定无需填写的条款，应在该条款处注明“无”等字样。</w:t>
      </w:r>
    </w:p>
    <w:p w14:paraId="1183BA60">
      <w:pPr>
        <w:adjustRightInd w:val="0"/>
        <w:snapToGrid w:val="0"/>
        <w:spacing w:line="360" w:lineRule="auto"/>
        <w:ind w:firstLine="560" w:firstLineChars="200"/>
        <w:rPr>
          <w:rFonts w:hint="default" w:ascii="仿宋" w:hAnsi="仿宋" w:eastAsia="仿宋" w:cs="仿宋"/>
          <w:color w:val="auto"/>
          <w:sz w:val="28"/>
          <w:szCs w:val="28"/>
          <w:highlight w:val="none"/>
        </w:rPr>
      </w:pPr>
    </w:p>
    <w:p w14:paraId="02638134">
      <w:pPr>
        <w:adjustRightInd w:val="0"/>
        <w:snapToGrid w:val="0"/>
        <w:spacing w:line="360" w:lineRule="auto"/>
        <w:ind w:firstLine="560" w:firstLineChars="200"/>
        <w:rPr>
          <w:rFonts w:hint="default" w:ascii="仿宋" w:hAnsi="仿宋" w:eastAsia="仿宋" w:cs="仿宋"/>
          <w:color w:val="auto"/>
          <w:sz w:val="28"/>
          <w:szCs w:val="28"/>
          <w:highlight w:val="none"/>
        </w:rPr>
      </w:pPr>
    </w:p>
    <w:p w14:paraId="4BA61062">
      <w:pPr>
        <w:adjustRightInd w:val="0"/>
        <w:snapToGrid w:val="0"/>
        <w:spacing w:line="360" w:lineRule="auto"/>
        <w:ind w:firstLine="640" w:firstLineChars="200"/>
        <w:rPr>
          <w:rFonts w:hint="default" w:ascii="楷体_GB2312" w:eastAsia="楷体_GB2312"/>
          <w:color w:val="auto"/>
          <w:sz w:val="32"/>
          <w:highlight w:val="none"/>
        </w:rPr>
      </w:pPr>
    </w:p>
    <w:p w14:paraId="390613DE">
      <w:pPr>
        <w:adjustRightInd w:val="0"/>
        <w:snapToGrid w:val="0"/>
        <w:spacing w:line="360" w:lineRule="auto"/>
        <w:ind w:firstLine="640" w:firstLineChars="200"/>
        <w:rPr>
          <w:rFonts w:hint="default" w:ascii="楷体_GB2312" w:eastAsia="楷体_GB2312"/>
          <w:color w:val="auto"/>
          <w:sz w:val="32"/>
          <w:highlight w:val="none"/>
        </w:rPr>
      </w:pPr>
    </w:p>
    <w:p w14:paraId="7E32307E">
      <w:pPr>
        <w:adjustRightInd w:val="0"/>
        <w:snapToGrid w:val="0"/>
        <w:spacing w:line="360" w:lineRule="auto"/>
        <w:ind w:firstLine="640" w:firstLineChars="200"/>
        <w:rPr>
          <w:rFonts w:hint="default" w:ascii="楷体_GB2312" w:eastAsia="楷体_GB2312"/>
          <w:color w:val="auto"/>
          <w:sz w:val="32"/>
          <w:highlight w:val="none"/>
        </w:rPr>
      </w:pPr>
    </w:p>
    <w:p w14:paraId="30EDA15D">
      <w:pPr>
        <w:adjustRightInd w:val="0"/>
        <w:snapToGrid w:val="0"/>
        <w:spacing w:line="360" w:lineRule="auto"/>
        <w:ind w:firstLine="640" w:firstLineChars="200"/>
        <w:rPr>
          <w:rFonts w:hint="default" w:ascii="楷体_GB2312" w:eastAsia="楷体_GB2312"/>
          <w:color w:val="auto"/>
          <w:sz w:val="32"/>
          <w:highlight w:val="none"/>
        </w:rPr>
      </w:pPr>
    </w:p>
    <w:p w14:paraId="728B85CB">
      <w:pPr>
        <w:rPr>
          <w:rFonts w:hint="default"/>
          <w:color w:val="auto"/>
          <w:highlight w:val="none"/>
        </w:rPr>
      </w:pPr>
    </w:p>
    <w:p w14:paraId="2B9385A5">
      <w:pPr>
        <w:rPr>
          <w:rFonts w:hint="default"/>
          <w:color w:val="auto"/>
          <w:highlight w:val="none"/>
        </w:rPr>
      </w:pPr>
    </w:p>
    <w:p w14:paraId="5D09FE31">
      <w:pPr>
        <w:rPr>
          <w:rFonts w:hint="default"/>
          <w:color w:val="auto"/>
          <w:highlight w:val="none"/>
        </w:rPr>
      </w:pPr>
    </w:p>
    <w:p w14:paraId="0D988ABF">
      <w:pPr>
        <w:rPr>
          <w:rFonts w:hint="default"/>
          <w:color w:val="auto"/>
          <w:highlight w:val="none"/>
        </w:rPr>
      </w:pPr>
    </w:p>
    <w:p w14:paraId="735BD5CF">
      <w:pPr>
        <w:rPr>
          <w:rFonts w:hint="default"/>
          <w:color w:val="auto"/>
          <w:highlight w:val="none"/>
        </w:rPr>
      </w:pPr>
    </w:p>
    <w:p w14:paraId="39765584">
      <w:pPr>
        <w:rPr>
          <w:rFonts w:hint="default"/>
          <w:color w:val="auto"/>
          <w:highlight w:val="none"/>
        </w:rPr>
      </w:pPr>
    </w:p>
    <w:p w14:paraId="5BE0DA49">
      <w:pPr>
        <w:rPr>
          <w:rFonts w:hint="default" w:ascii="黑体" w:eastAsia="黑体"/>
          <w:bCs/>
          <w:color w:val="auto"/>
          <w:sz w:val="40"/>
          <w:szCs w:val="22"/>
          <w:highlight w:val="none"/>
        </w:rPr>
      </w:pPr>
      <w:r>
        <w:rPr>
          <w:rFonts w:ascii="黑体" w:eastAsia="黑体"/>
          <w:bCs/>
          <w:color w:val="auto"/>
          <w:sz w:val="40"/>
          <w:szCs w:val="22"/>
          <w:highlight w:val="none"/>
        </w:rPr>
        <w:br w:type="page"/>
      </w:r>
    </w:p>
    <w:p w14:paraId="436D5EFB">
      <w:pPr>
        <w:pStyle w:val="24"/>
        <w:spacing w:line="336" w:lineRule="auto"/>
        <w:ind w:firstLine="800"/>
        <w:jc w:val="center"/>
        <w:rPr>
          <w:rFonts w:hint="default" w:ascii="黑体" w:eastAsia="黑体"/>
          <w:bCs/>
          <w:color w:val="auto"/>
          <w:sz w:val="40"/>
          <w:szCs w:val="22"/>
          <w:highlight w:val="none"/>
        </w:rPr>
      </w:pPr>
      <w:r>
        <w:rPr>
          <w:rFonts w:ascii="黑体" w:eastAsia="黑体"/>
          <w:bCs/>
          <w:color w:val="auto"/>
          <w:sz w:val="40"/>
          <w:szCs w:val="22"/>
          <w:highlight w:val="none"/>
        </w:rPr>
        <w:t>技术服务合同</w:t>
      </w:r>
    </w:p>
    <w:p w14:paraId="391FF81B">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委托方（甲方）：</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bookmarkStart w:id="412" w:name="OLE_LINK88"/>
      <w:bookmarkStart w:id="413" w:name="OLE_LINK87"/>
      <w:r>
        <w:rPr>
          <w:rFonts w:ascii="宋体" w:hAnsi="宋体" w:cs="宋体"/>
          <w:color w:val="auto"/>
          <w:sz w:val="24"/>
          <w:highlight w:val="none"/>
          <w:u w:val="single"/>
        </w:rPr>
        <w:t>杭州萧山城市基础设施建设有限公司</w:t>
      </w:r>
      <w:bookmarkEnd w:id="412"/>
      <w:bookmarkEnd w:id="413"/>
      <w:r>
        <w:rPr>
          <w:rFonts w:ascii="宋体" w:hAnsi="宋体" w:cs="宋体"/>
          <w:b/>
          <w:bCs/>
          <w:color w:val="auto"/>
          <w:sz w:val="30"/>
          <w:highlight w:val="none"/>
          <w:u w:val="single"/>
        </w:rPr>
        <w:t xml:space="preserve">  </w:t>
      </w:r>
      <w:r>
        <w:rPr>
          <w:rFonts w:ascii="宋体" w:hAnsi="宋体" w:cs="宋体"/>
          <w:bCs/>
          <w:color w:val="auto"/>
          <w:sz w:val="24"/>
          <w:highlight w:val="none"/>
          <w:u w:val="single"/>
        </w:rPr>
        <w:t xml:space="preserve"> </w:t>
      </w:r>
      <w:r>
        <w:rPr>
          <w:rFonts w:hint="default" w:ascii="宋体" w:hAnsi="宋体" w:cs="宋体"/>
          <w:bCs/>
          <w:color w:val="auto"/>
          <w:sz w:val="24"/>
          <w:highlight w:val="none"/>
          <w:u w:val="single"/>
        </w:rPr>
        <w:t xml:space="preserve"> </w:t>
      </w:r>
    </w:p>
    <w:p w14:paraId="18A9A53A">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 xml:space="preserve">住  所  地：  </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035F1B40">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法定代表人：</w:t>
      </w:r>
      <w:r>
        <w:rPr>
          <w:rFonts w:ascii="宋体" w:hAnsi="宋体" w:cs="宋体"/>
          <w:color w:val="auto"/>
          <w:sz w:val="24"/>
          <w:highlight w:val="none"/>
          <w:u w:val="single"/>
        </w:rPr>
        <w:t xml:space="preserve">                                         </w:t>
      </w:r>
    </w:p>
    <w:p w14:paraId="20A7F191">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项目联系人：</w:t>
      </w:r>
      <w:r>
        <w:rPr>
          <w:rFonts w:ascii="宋体" w:hAnsi="宋体" w:cs="宋体"/>
          <w:color w:val="auto"/>
          <w:sz w:val="24"/>
          <w:highlight w:val="none"/>
          <w:u w:val="single"/>
        </w:rPr>
        <w:t xml:space="preserve">                                         </w:t>
      </w:r>
    </w:p>
    <w:p w14:paraId="1935626A">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联系方式：</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366F9E3D">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通讯地址：</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3CCD1110">
      <w:pPr>
        <w:pStyle w:val="24"/>
        <w:tabs>
          <w:tab w:val="left" w:pos="5387"/>
        </w:tabs>
        <w:spacing w:line="400" w:lineRule="exact"/>
        <w:ind w:firstLine="480"/>
        <w:rPr>
          <w:rFonts w:hint="default" w:ascii="宋体" w:hAnsi="宋体" w:cs="宋体"/>
          <w:color w:val="auto"/>
          <w:sz w:val="24"/>
          <w:highlight w:val="none"/>
        </w:rPr>
      </w:pPr>
      <w:r>
        <w:rPr>
          <w:rFonts w:ascii="宋体" w:hAnsi="宋体" w:cs="宋体"/>
          <w:color w:val="auto"/>
          <w:sz w:val="24"/>
          <w:highlight w:val="none"/>
        </w:rPr>
        <w:t>电    话：</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传   真：</w:t>
      </w:r>
      <w:r>
        <w:rPr>
          <w:rFonts w:ascii="宋体" w:hAnsi="宋体" w:cs="宋体"/>
          <w:color w:val="auto"/>
          <w:sz w:val="24"/>
          <w:highlight w:val="none"/>
          <w:u w:val="single"/>
        </w:rPr>
        <w:t xml:space="preserve">                </w:t>
      </w:r>
    </w:p>
    <w:p w14:paraId="189D107E">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电子信箱：</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p>
    <w:p w14:paraId="2E857E94">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受托方(乙方)：</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048CFE36">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住  所  地：</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3BB54A37">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法定代表人（委托代理人）：</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38331937">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项目联系人：</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437E0587">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通讯地址：</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3F2B81AC">
      <w:pPr>
        <w:pStyle w:val="24"/>
        <w:tabs>
          <w:tab w:val="left" w:pos="5245"/>
        </w:tabs>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电    话：</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传  真：</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2FF81E13">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手    机：</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5ED86221">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电子信箱：</w:t>
      </w:r>
      <w:r>
        <w:rPr>
          <w:rFonts w:ascii="宋体" w:hAnsi="宋体" w:cs="宋体"/>
          <w:color w:val="auto"/>
          <w:sz w:val="24"/>
          <w:highlight w:val="none"/>
          <w:u w:val="single"/>
        </w:rPr>
        <w:t xml:space="preserve">      </w:t>
      </w:r>
      <w:r>
        <w:rPr>
          <w:rFonts w:hint="default"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6E91287A">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本合同甲方委托乙方就</w:t>
      </w:r>
      <w:r>
        <w:rPr>
          <w:rFonts w:ascii="宋体" w:hAnsi="宋体" w:cs="宋体"/>
          <w:bCs/>
          <w:color w:val="auto"/>
          <w:sz w:val="24"/>
          <w:highlight w:val="none"/>
          <w:u w:val="single"/>
        </w:rPr>
        <w:t>萧彩街公共人行天桥项目施工监控及成桥荷载试验项目</w:t>
      </w:r>
      <w:r>
        <w:rPr>
          <w:rFonts w:ascii="宋体" w:hAnsi="宋体" w:cs="宋体"/>
          <w:color w:val="auto"/>
          <w:sz w:val="24"/>
          <w:highlight w:val="none"/>
        </w:rPr>
        <w:t>的专项技术服务，并支付相应的技术服务报酬。双方经过平等协商，在真实、充分地表达各自意愿的基础上，根据《中华人民共和国</w:t>
      </w:r>
      <w:r>
        <w:rPr>
          <w:rFonts w:ascii="宋体" w:hAnsi="宋体" w:cs="宋体"/>
          <w:bCs/>
          <w:color w:val="auto"/>
          <w:sz w:val="24"/>
          <w:highlight w:val="none"/>
        </w:rPr>
        <w:t>民法典</w:t>
      </w:r>
      <w:r>
        <w:rPr>
          <w:rFonts w:ascii="宋体" w:hAnsi="宋体" w:cs="宋体"/>
          <w:color w:val="auto"/>
          <w:sz w:val="24"/>
          <w:highlight w:val="none"/>
        </w:rPr>
        <w:t>》的规定，达成如下协议，并由双方共同恪守。</w:t>
      </w:r>
    </w:p>
    <w:p w14:paraId="4007D50D">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第一条  甲方委托乙方进行技术服务的内容如下：</w:t>
      </w:r>
    </w:p>
    <w:p w14:paraId="5F25BD53">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1．技术服务的目标：</w:t>
      </w:r>
      <w:r>
        <w:rPr>
          <w:rFonts w:ascii="宋体" w:hAnsi="宋体" w:cs="宋体"/>
          <w:color w:val="auto"/>
          <w:sz w:val="24"/>
          <w:highlight w:val="none"/>
          <w:u w:val="single"/>
        </w:rPr>
        <w:t xml:space="preserve">  满足相关规范规定及设计要求。</w:t>
      </w:r>
    </w:p>
    <w:p w14:paraId="025A8223">
      <w:pPr>
        <w:pStyle w:val="24"/>
        <w:spacing w:line="400" w:lineRule="exact"/>
        <w:ind w:firstLine="480"/>
        <w:rPr>
          <w:rFonts w:ascii="宋体" w:hAnsi="宋体" w:cs="宋体"/>
          <w:color w:val="auto"/>
          <w:sz w:val="24"/>
          <w:highlight w:val="none"/>
          <w:u w:val="single"/>
        </w:rPr>
      </w:pPr>
      <w:r>
        <w:rPr>
          <w:rFonts w:ascii="宋体" w:hAnsi="宋体" w:cs="宋体"/>
          <w:color w:val="auto"/>
          <w:sz w:val="24"/>
          <w:highlight w:val="none"/>
        </w:rPr>
        <w:t>2．技术服务的对象：</w:t>
      </w:r>
      <w:r>
        <w:rPr>
          <w:rFonts w:ascii="宋体" w:hAnsi="宋体" w:cs="宋体"/>
          <w:color w:val="auto"/>
          <w:sz w:val="24"/>
          <w:highlight w:val="none"/>
          <w:u w:val="single"/>
        </w:rPr>
        <w:t>萧彩街公共人行天桥项目建设1座上跨萧彩隧道的人行天桥，上部采用（3</w:t>
      </w:r>
      <w:r>
        <w:rPr>
          <w:rFonts w:hint="default" w:ascii="宋体" w:hAnsi="宋体" w:cs="宋体"/>
          <w:color w:val="auto"/>
          <w:sz w:val="24"/>
          <w:highlight w:val="none"/>
          <w:u w:val="single"/>
        </w:rPr>
        <w:t>6.84+80.1+21.496</w:t>
      </w:r>
      <w:r>
        <w:rPr>
          <w:rFonts w:ascii="宋体" w:hAnsi="宋体" w:cs="宋体"/>
          <w:color w:val="auto"/>
          <w:sz w:val="24"/>
          <w:highlight w:val="none"/>
          <w:u w:val="single"/>
        </w:rPr>
        <w:t>）m连续钢桁架结构，桥墩采用柱式桥墩，桥宽9</w:t>
      </w:r>
      <w:r>
        <w:rPr>
          <w:rFonts w:hint="default" w:ascii="宋体" w:hAnsi="宋体" w:cs="宋体"/>
          <w:color w:val="auto"/>
          <w:sz w:val="24"/>
          <w:highlight w:val="none"/>
          <w:u w:val="single"/>
        </w:rPr>
        <w:t>.6-13.6</w:t>
      </w:r>
      <w:r>
        <w:rPr>
          <w:rFonts w:ascii="宋体" w:hAnsi="宋体" w:cs="宋体"/>
          <w:color w:val="auto"/>
          <w:sz w:val="24"/>
          <w:highlight w:val="none"/>
          <w:u w:val="single"/>
        </w:rPr>
        <w:t>m，单跨最大8</w:t>
      </w:r>
      <w:r>
        <w:rPr>
          <w:rFonts w:hint="default" w:ascii="宋体" w:hAnsi="宋体" w:cs="宋体"/>
          <w:color w:val="auto"/>
          <w:sz w:val="24"/>
          <w:highlight w:val="none"/>
          <w:u w:val="single"/>
        </w:rPr>
        <w:t>0.1</w:t>
      </w:r>
      <w:r>
        <w:rPr>
          <w:rFonts w:ascii="宋体" w:hAnsi="宋体" w:cs="宋体"/>
          <w:color w:val="auto"/>
          <w:sz w:val="24"/>
          <w:highlight w:val="none"/>
          <w:u w:val="single"/>
        </w:rPr>
        <w:t>m，</w:t>
      </w:r>
      <w:r>
        <w:rPr>
          <w:rFonts w:ascii="宋体" w:hAnsi="宋体" w:cs="宋体"/>
          <w:bCs/>
          <w:color w:val="auto"/>
          <w:sz w:val="24"/>
          <w:highlight w:val="none"/>
          <w:u w:val="single"/>
        </w:rPr>
        <w:t>主体结构采用两端悬挑变高连续桁架结构</w:t>
      </w:r>
      <w:r>
        <w:rPr>
          <w:color w:val="auto"/>
          <w:highlight w:val="none"/>
          <w:u w:val="single"/>
        </w:rPr>
        <w:t>。</w:t>
      </w:r>
    </w:p>
    <w:p w14:paraId="05D1FEC7">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3</w:t>
      </w:r>
      <w:r>
        <w:rPr>
          <w:rFonts w:hint="default" w:ascii="宋体" w:hAnsi="宋体" w:cs="宋体"/>
          <w:color w:val="auto"/>
          <w:sz w:val="24"/>
          <w:highlight w:val="none"/>
        </w:rPr>
        <w:t xml:space="preserve">. </w:t>
      </w:r>
      <w:r>
        <w:rPr>
          <w:rFonts w:ascii="宋体" w:hAnsi="宋体" w:cs="宋体"/>
          <w:color w:val="auto"/>
          <w:sz w:val="24"/>
          <w:highlight w:val="none"/>
        </w:rPr>
        <w:t>技术服务的内容：</w:t>
      </w:r>
    </w:p>
    <w:p w14:paraId="143F657D">
      <w:pPr>
        <w:spacing w:line="400" w:lineRule="exact"/>
        <w:ind w:firstLine="482" w:firstLineChars="200"/>
        <w:rPr>
          <w:rFonts w:hint="default" w:ascii="宋体" w:hAnsi="宋体" w:cs="宋体"/>
          <w:b/>
          <w:bCs/>
          <w:color w:val="auto"/>
          <w:sz w:val="24"/>
          <w:highlight w:val="none"/>
        </w:rPr>
      </w:pPr>
      <w:r>
        <w:rPr>
          <w:rFonts w:ascii="宋体" w:hAnsi="宋体" w:cs="宋体"/>
          <w:b/>
          <w:bCs/>
          <w:color w:val="auto"/>
          <w:sz w:val="24"/>
          <w:highlight w:val="none"/>
        </w:rPr>
        <w:t>（1）施工监控</w:t>
      </w:r>
    </w:p>
    <w:p w14:paraId="35A73595">
      <w:pPr>
        <w:spacing w:line="400" w:lineRule="exact"/>
        <w:ind w:firstLine="480" w:firstLineChars="200"/>
        <w:rPr>
          <w:rFonts w:hint="default" w:ascii="宋体" w:hAnsi="宋体" w:cs="宋体"/>
          <w:bCs/>
          <w:color w:val="auto"/>
          <w:sz w:val="24"/>
          <w:highlight w:val="none"/>
        </w:rPr>
      </w:pPr>
      <w:r>
        <w:rPr>
          <w:rFonts w:ascii="宋体" w:hAnsi="宋体" w:cs="宋体"/>
          <w:bCs/>
          <w:color w:val="auto"/>
          <w:sz w:val="24"/>
          <w:highlight w:val="none"/>
        </w:rPr>
        <w:t>1）施工监控计算</w:t>
      </w:r>
    </w:p>
    <w:p w14:paraId="5FBEC8D1">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要保证桥梁施工过程的安全，必须采用合理的计算方法和施工监控方法来确定桥梁结构施工过程中每一阶段在受力和变形方面的理想状态，使各施工工况及最终的成桥线形和受力状态满足设计和规范要求。因此，施工桥梁的施工监控计算是十分必要且必不可少的。</w:t>
      </w:r>
    </w:p>
    <w:p w14:paraId="23880B5D">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根据桥梁的施工图设计及施工单位提供的施工方案，对桥梁结构的施工过程进行仿真分析，以确定钢桁架的预拱度，并对桥梁结构在整个施工过程中的应力、变形及整体稳定性进行复核验算。同时对施工过程中关键临时支架的受力安全和稳定进行复核验算，对施工方案的安全性和可行性进行论证。</w:t>
      </w:r>
    </w:p>
    <w:p w14:paraId="396B56C8">
      <w:pPr>
        <w:spacing w:line="400" w:lineRule="exact"/>
        <w:ind w:firstLine="480" w:firstLineChars="200"/>
        <w:rPr>
          <w:rFonts w:hint="default" w:ascii="宋体" w:hAnsi="宋体" w:cs="宋体"/>
          <w:bCs/>
          <w:color w:val="auto"/>
          <w:sz w:val="24"/>
          <w:highlight w:val="none"/>
        </w:rPr>
      </w:pPr>
      <w:r>
        <w:rPr>
          <w:rFonts w:ascii="宋体" w:hAnsi="宋体" w:cs="宋体"/>
          <w:bCs/>
          <w:color w:val="auto"/>
          <w:sz w:val="24"/>
          <w:highlight w:val="none"/>
        </w:rPr>
        <w:t xml:space="preserve">2）施工过程中结构关键参数的监测 </w:t>
      </w:r>
    </w:p>
    <w:p w14:paraId="6275F5CB">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施工监测是施工监控的基础，主要通过实现在结构的主要监测部位埋设数种性能各异的传感器和相关的测试仪器获得大量的数据，利用高效计算机程序，对数据进行分析处理，确定每一阶段的施工参数，实现桥跨结构的内力和线形同时达到设计预期值，保证施工质量和安全。本项目施工过程中结构关键参数的监测内容包括但不限于：</w:t>
      </w:r>
    </w:p>
    <w:p w14:paraId="68033A6F">
      <w:pPr>
        <w:spacing w:line="400" w:lineRule="exact"/>
        <w:ind w:firstLine="480" w:firstLineChars="200"/>
        <w:rPr>
          <w:rFonts w:hint="default" w:ascii="宋体" w:hAnsi="宋体" w:cs="宋体"/>
          <w:bCs/>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 1 \* GB3 </w:instrText>
      </w:r>
      <w:r>
        <w:rPr>
          <w:rFonts w:ascii="宋体" w:hAnsi="宋体" w:cs="宋体"/>
          <w:color w:val="auto"/>
          <w:sz w:val="24"/>
          <w:highlight w:val="none"/>
        </w:rPr>
        <w:fldChar w:fldCharType="separate"/>
      </w:r>
      <w:r>
        <w:rPr>
          <w:rFonts w:ascii="宋体" w:hAnsi="宋体" w:cs="宋体"/>
          <w:color w:val="auto"/>
          <w:sz w:val="24"/>
          <w:highlight w:val="none"/>
        </w:rPr>
        <w:t>①</w:t>
      </w:r>
      <w:r>
        <w:rPr>
          <w:rFonts w:ascii="宋体" w:hAnsi="宋体" w:cs="宋体"/>
          <w:color w:val="auto"/>
          <w:sz w:val="24"/>
          <w:highlight w:val="none"/>
        </w:rPr>
        <w:fldChar w:fldCharType="end"/>
      </w:r>
      <w:r>
        <w:rPr>
          <w:rFonts w:ascii="宋体" w:hAnsi="宋体" w:cs="宋体"/>
          <w:color w:val="auto"/>
          <w:sz w:val="24"/>
          <w:highlight w:val="none"/>
        </w:rPr>
        <w:t xml:space="preserve"> </w:t>
      </w:r>
      <w:r>
        <w:rPr>
          <w:rFonts w:ascii="宋体" w:hAnsi="宋体" w:cs="宋体"/>
          <w:bCs/>
          <w:color w:val="auto"/>
          <w:sz w:val="24"/>
          <w:highlight w:val="none"/>
        </w:rPr>
        <w:t>施工过程中钢桁架的应力、变形、温度的监测：在施工过程中，针对桥梁结构特点及施工方案，选取关键截面的变形、应力、温度等关键参数进行监测，根据监测结果对桥梁结构的安全性及设计目标的实现情况进行评估。</w:t>
      </w:r>
    </w:p>
    <w:p w14:paraId="1D4D5526">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 2 \* GB3 </w:instrText>
      </w:r>
      <w:r>
        <w:rPr>
          <w:rFonts w:ascii="宋体" w:hAnsi="宋体" w:cs="宋体"/>
          <w:color w:val="auto"/>
          <w:sz w:val="24"/>
          <w:highlight w:val="none"/>
        </w:rPr>
        <w:fldChar w:fldCharType="separate"/>
      </w:r>
      <w:r>
        <w:rPr>
          <w:rFonts w:ascii="宋体" w:hAnsi="宋体" w:cs="宋体"/>
          <w:color w:val="auto"/>
          <w:sz w:val="24"/>
          <w:highlight w:val="none"/>
        </w:rPr>
        <w:t>②</w:t>
      </w:r>
      <w:r>
        <w:rPr>
          <w:rFonts w:ascii="宋体" w:hAnsi="宋体" w:cs="宋体"/>
          <w:color w:val="auto"/>
          <w:sz w:val="24"/>
          <w:highlight w:val="none"/>
        </w:rPr>
        <w:fldChar w:fldCharType="end"/>
      </w:r>
      <w:r>
        <w:rPr>
          <w:rFonts w:ascii="宋体" w:hAnsi="宋体" w:cs="宋体"/>
          <w:color w:val="auto"/>
          <w:sz w:val="24"/>
          <w:highlight w:val="none"/>
        </w:rPr>
        <w:t xml:space="preserve"> </w:t>
      </w:r>
      <w:r>
        <w:rPr>
          <w:rFonts w:ascii="宋体" w:hAnsi="宋体" w:cs="宋体"/>
          <w:bCs/>
          <w:color w:val="auto"/>
          <w:sz w:val="24"/>
          <w:highlight w:val="none"/>
        </w:rPr>
        <w:t>施工过程关键临时支架的应力、变形的监测：根据施工方案，施工过程中，临时支架关键位置的应力及变形将直接影响主体结构的受力及线形，</w:t>
      </w:r>
      <w:r>
        <w:rPr>
          <w:rFonts w:ascii="宋体" w:hAnsi="宋体" w:cs="宋体"/>
          <w:color w:val="auto"/>
          <w:sz w:val="24"/>
          <w:highlight w:val="none"/>
        </w:rPr>
        <w:t>应对其进行监测，从而对施工过程中临时支架的安全性进行评估，对临时支架变形对桥梁主体结构的影响进行预估。</w:t>
      </w:r>
    </w:p>
    <w:p w14:paraId="41DD3746">
      <w:pPr>
        <w:spacing w:line="400" w:lineRule="exact"/>
        <w:ind w:firstLine="480" w:firstLineChars="200"/>
        <w:rPr>
          <w:rFonts w:hint="default" w:ascii="宋体" w:hAnsi="宋体" w:cs="宋体"/>
          <w:bCs/>
          <w:color w:val="auto"/>
          <w:sz w:val="24"/>
          <w:highlight w:val="none"/>
        </w:rPr>
      </w:pPr>
      <w:r>
        <w:rPr>
          <w:rFonts w:ascii="宋体" w:hAnsi="宋体" w:cs="宋体"/>
          <w:bCs/>
          <w:color w:val="auto"/>
          <w:sz w:val="24"/>
          <w:highlight w:val="none"/>
        </w:rPr>
        <w:t>3）数据分析与反馈控制</w:t>
      </w:r>
    </w:p>
    <w:p w14:paraId="0EC7D03D">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监控计算、施工监测以及数据搜集的最终目的是为结构状态分析提供原始素材。对主桥进行监测的同时，需要对监测数据进行分析与反馈控制，确保大桥安全及设计目标的实现。</w:t>
      </w:r>
    </w:p>
    <w:p w14:paraId="25083585">
      <w:pPr>
        <w:spacing w:line="400" w:lineRule="exact"/>
        <w:ind w:firstLine="482" w:firstLineChars="200"/>
        <w:rPr>
          <w:rFonts w:hint="default" w:ascii="宋体" w:hAnsi="宋体" w:cs="宋体"/>
          <w:b/>
          <w:color w:val="auto"/>
          <w:sz w:val="24"/>
          <w:highlight w:val="none"/>
        </w:rPr>
      </w:pPr>
      <w:r>
        <w:rPr>
          <w:rFonts w:ascii="宋体" w:hAnsi="宋体" w:cs="宋体"/>
          <w:b/>
          <w:color w:val="auto"/>
          <w:sz w:val="24"/>
          <w:highlight w:val="none"/>
        </w:rPr>
        <w:t>（2）成桥荷载试验</w:t>
      </w:r>
    </w:p>
    <w:p w14:paraId="7B64A659">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1）外观检测内容</w:t>
      </w:r>
    </w:p>
    <w:p w14:paraId="3917DA73">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对所有桥跨进行外观质量检测，对桥面系、上/下部结构各构件外观存在的病害进行详细检查，以达到对桥梁结构的全面了解，并据此有针对性的调整试验方案的内容。</w:t>
      </w:r>
    </w:p>
    <w:p w14:paraId="23B836AD">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2）静载试验内容</w:t>
      </w:r>
    </w:p>
    <w:p w14:paraId="7C6FBB11">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① 各控制截面在试验荷载下的挠度；</w:t>
      </w:r>
    </w:p>
    <w:p w14:paraId="76E59A38">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② 各控制截面在试验荷载下的应变；</w:t>
      </w:r>
    </w:p>
    <w:p w14:paraId="09BF173F">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通过静态应变采集系统测试各工况加载时截面测点的应变、位移变化并自动采集。</w:t>
      </w:r>
    </w:p>
    <w:p w14:paraId="2FF50A43">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3）动载试验内容</w:t>
      </w:r>
    </w:p>
    <w:p w14:paraId="32ED4E2E">
      <w:pPr>
        <w:spacing w:line="400" w:lineRule="exact"/>
        <w:ind w:firstLine="480" w:firstLineChars="200"/>
        <w:rPr>
          <w:rFonts w:hint="default" w:ascii="宋体" w:hAnsi="宋体" w:cs="宋体"/>
          <w:color w:val="auto"/>
          <w:sz w:val="24"/>
          <w:highlight w:val="none"/>
        </w:rPr>
      </w:pPr>
      <w:bookmarkStart w:id="414" w:name="OLE_LINK84"/>
      <w:r>
        <w:rPr>
          <w:rFonts w:ascii="宋体" w:hAnsi="宋体" w:cs="宋体"/>
          <w:color w:val="auto"/>
          <w:sz w:val="24"/>
          <w:highlight w:val="none"/>
        </w:rPr>
        <w:t>①</w:t>
      </w:r>
      <w:bookmarkEnd w:id="414"/>
      <w:r>
        <w:rPr>
          <w:rFonts w:ascii="宋体" w:hAnsi="宋体" w:cs="宋体"/>
          <w:color w:val="auto"/>
          <w:sz w:val="24"/>
          <w:highlight w:val="none"/>
        </w:rPr>
        <w:t xml:space="preserve"> 脉动试验：在桥面无任何交通荷载以及桥梁附近无规则振源的情况下，测定桥跨结构由于桥址处风荷载、地脉动、水流等随机荷载激振而引起的桥跨结构微幅振动响应。</w:t>
      </w:r>
    </w:p>
    <w:p w14:paraId="0154ED8D">
      <w:pPr>
        <w:spacing w:line="400" w:lineRule="exact"/>
        <w:ind w:firstLine="480" w:firstLineChars="200"/>
        <w:rPr>
          <w:rFonts w:hint="default" w:ascii="宋体" w:hAnsi="宋体" w:cs="宋体"/>
          <w:color w:val="auto"/>
          <w:sz w:val="24"/>
          <w:highlight w:val="none"/>
        </w:rPr>
      </w:pPr>
      <w:bookmarkStart w:id="415" w:name="OLE_LINK86"/>
      <w:bookmarkStart w:id="416" w:name="OLE_LINK85"/>
      <w:r>
        <w:rPr>
          <w:rFonts w:ascii="宋体" w:hAnsi="宋体" w:cs="宋体"/>
          <w:color w:val="auto"/>
          <w:sz w:val="24"/>
          <w:highlight w:val="none"/>
        </w:rPr>
        <w:t>②</w:t>
      </w:r>
      <w:bookmarkEnd w:id="415"/>
      <w:bookmarkEnd w:id="416"/>
      <w:r>
        <w:rPr>
          <w:rFonts w:ascii="宋体" w:hAnsi="宋体" w:cs="宋体"/>
          <w:color w:val="auto"/>
          <w:sz w:val="24"/>
          <w:highlight w:val="none"/>
        </w:rPr>
        <w:t xml:space="preserve"> 行人荷载下的振动响应试验，安排不同的人或人群按照不同的步伐通过试验桥跨以测定结构的振动响应，为评价结构振动的舒适性提供依据。</w:t>
      </w:r>
    </w:p>
    <w:p w14:paraId="37C7B1CC">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③ 振动衰减试验，利用不同人数的行人在试验桥跨跨中跳跃，结构产生自由振动，根据自由振动的衰减计算阻尼特性。</w:t>
      </w:r>
    </w:p>
    <w:p w14:paraId="3CB61DA6">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根据以上三项动载试验结果进行论证分析，对桥梁力学性能做出评价。</w:t>
      </w:r>
    </w:p>
    <w:p w14:paraId="566CCDA9">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具体测试内容如下：</w:t>
      </w:r>
    </w:p>
    <w:p w14:paraId="71FB2A59">
      <w:pPr>
        <w:spacing w:line="400" w:lineRule="exact"/>
        <w:ind w:firstLine="360" w:firstLineChars="150"/>
        <w:rPr>
          <w:rFonts w:hint="default" w:ascii="宋体" w:hAnsi="宋体" w:cs="宋体"/>
          <w:color w:val="auto"/>
          <w:sz w:val="24"/>
          <w:highlight w:val="none"/>
        </w:rPr>
      </w:pPr>
      <w:r>
        <w:rPr>
          <w:rFonts w:ascii="宋体" w:hAnsi="宋体" w:cs="宋体"/>
          <w:color w:val="auto"/>
          <w:sz w:val="24"/>
          <w:highlight w:val="none"/>
        </w:rPr>
        <w:t>① 桥跨结构的自振频率等振动特性；</w:t>
      </w:r>
    </w:p>
    <w:p w14:paraId="4B948581">
      <w:pPr>
        <w:spacing w:line="400" w:lineRule="exact"/>
        <w:ind w:firstLine="360" w:firstLineChars="150"/>
        <w:rPr>
          <w:rFonts w:ascii="宋体" w:hAnsi="宋体" w:cs="宋体"/>
          <w:color w:val="auto"/>
          <w:sz w:val="24"/>
          <w:highlight w:val="none"/>
        </w:rPr>
      </w:pPr>
      <w:r>
        <w:rPr>
          <w:rFonts w:ascii="宋体" w:hAnsi="宋体" w:cs="宋体"/>
          <w:color w:val="auto"/>
          <w:sz w:val="24"/>
          <w:highlight w:val="none"/>
        </w:rPr>
        <w:t>② 桥跨结构在动力荷载作用下的反应，主要包括动位移或动应变等；</w:t>
      </w:r>
    </w:p>
    <w:p w14:paraId="1BD2725E">
      <w:pPr>
        <w:spacing w:line="400" w:lineRule="exact"/>
        <w:ind w:firstLine="360" w:firstLineChars="150"/>
        <w:rPr>
          <w:rFonts w:ascii="宋体" w:hAnsi="宋体" w:cs="宋体"/>
          <w:color w:val="auto"/>
          <w:sz w:val="24"/>
          <w:highlight w:val="none"/>
        </w:rPr>
      </w:pPr>
      <w:r>
        <w:rPr>
          <w:rFonts w:ascii="宋体" w:hAnsi="宋体" w:cs="宋体"/>
          <w:color w:val="auto"/>
          <w:sz w:val="24"/>
          <w:highlight w:val="none"/>
        </w:rPr>
        <w:t>③ 桥梁结构的阻尼特性；</w:t>
      </w:r>
    </w:p>
    <w:p w14:paraId="2927A84F">
      <w:pPr>
        <w:spacing w:line="400" w:lineRule="exact"/>
        <w:ind w:firstLine="360" w:firstLineChars="150"/>
        <w:rPr>
          <w:rFonts w:hint="default" w:ascii="宋体" w:hAnsi="宋体" w:cs="宋体"/>
          <w:color w:val="auto"/>
          <w:sz w:val="24"/>
          <w:highlight w:val="none"/>
          <w:u w:val="single"/>
        </w:rPr>
      </w:pPr>
      <w:r>
        <w:rPr>
          <w:rFonts w:hint="default" w:ascii="宋体" w:hAnsi="宋体" w:cs="宋体"/>
          <w:color w:val="auto"/>
          <w:sz w:val="24"/>
          <w:highlight w:val="none"/>
        </w:rPr>
        <w:t>4</w:t>
      </w:r>
      <w:r>
        <w:rPr>
          <w:rFonts w:ascii="宋体" w:hAnsi="宋体" w:cs="宋体"/>
          <w:color w:val="auto"/>
          <w:sz w:val="24"/>
          <w:highlight w:val="none"/>
        </w:rPr>
        <w:t>．</w:t>
      </w:r>
      <w:r>
        <w:rPr>
          <w:rFonts w:ascii="宋体" w:hAnsi="宋体" w:cs="宋体"/>
          <w:color w:val="auto"/>
          <w:sz w:val="24"/>
          <w:highlight w:val="none"/>
          <w:u w:val="single"/>
        </w:rPr>
        <w:t xml:space="preserve"> 提交纸质的施工监控总结报告、成桥荷载试验报告一式肆份 。</w:t>
      </w:r>
    </w:p>
    <w:p w14:paraId="66C8AFD7">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第二条  乙方应按下列要求完成技术服务工作：</w:t>
      </w:r>
    </w:p>
    <w:p w14:paraId="2F3D5FE7">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1．技术服务地点：</w:t>
      </w:r>
      <w:r>
        <w:rPr>
          <w:rFonts w:ascii="宋体" w:hAnsi="宋体" w:cs="宋体"/>
          <w:color w:val="auto"/>
          <w:sz w:val="24"/>
          <w:highlight w:val="none"/>
          <w:u w:val="single"/>
        </w:rPr>
        <w:t xml:space="preserve">    杭州市</w:t>
      </w:r>
      <w:r>
        <w:rPr>
          <w:rFonts w:hint="eastAsia" w:cs="宋体"/>
          <w:color w:val="auto"/>
          <w:sz w:val="24"/>
          <w:highlight w:val="none"/>
          <w:u w:val="single"/>
          <w:lang w:val="en-US" w:eastAsia="zh-CN"/>
        </w:rPr>
        <w:t>萧山区</w:t>
      </w:r>
      <w:r>
        <w:rPr>
          <w:rFonts w:ascii="宋体" w:hAnsi="宋体" w:cs="宋体"/>
          <w:color w:val="auto"/>
          <w:sz w:val="24"/>
          <w:highlight w:val="none"/>
          <w:u w:val="single"/>
        </w:rPr>
        <w:t xml:space="preserve">    </w:t>
      </w:r>
      <w:r>
        <w:rPr>
          <w:rFonts w:ascii="宋体" w:hAnsi="宋体" w:cs="宋体"/>
          <w:color w:val="auto"/>
          <w:sz w:val="24"/>
          <w:highlight w:val="none"/>
        </w:rPr>
        <w:t>；</w:t>
      </w:r>
    </w:p>
    <w:p w14:paraId="70A83F6F">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2．技术服务期限：</w:t>
      </w:r>
      <w:r>
        <w:rPr>
          <w:rFonts w:ascii="宋体" w:hAnsi="宋体" w:cs="宋体"/>
          <w:color w:val="auto"/>
          <w:sz w:val="24"/>
          <w:highlight w:val="none"/>
          <w:u w:val="single"/>
        </w:rPr>
        <w:t>从签订合同之日起至工程通过竣工验收合格为止</w:t>
      </w:r>
      <w:r>
        <w:rPr>
          <w:rFonts w:ascii="宋体" w:hAnsi="宋体" w:cs="宋体"/>
          <w:color w:val="auto"/>
          <w:sz w:val="24"/>
          <w:highlight w:val="none"/>
        </w:rPr>
        <w:t>；</w:t>
      </w:r>
    </w:p>
    <w:p w14:paraId="07D72DD1">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3．技术服务质量要求：</w:t>
      </w:r>
      <w:r>
        <w:rPr>
          <w:rFonts w:ascii="宋体" w:hAnsi="宋体" w:cs="宋体"/>
          <w:color w:val="auto"/>
          <w:sz w:val="24"/>
          <w:highlight w:val="none"/>
          <w:u w:val="single"/>
        </w:rPr>
        <w:t xml:space="preserve">符合有关桥梁施工监控及成桥荷载试验的国家规范和标准 </w:t>
      </w:r>
      <w:r>
        <w:rPr>
          <w:rFonts w:ascii="宋体" w:hAnsi="宋体" w:cs="宋体"/>
          <w:color w:val="auto"/>
          <w:sz w:val="24"/>
          <w:highlight w:val="none"/>
        </w:rPr>
        <w:t>；</w:t>
      </w:r>
    </w:p>
    <w:p w14:paraId="068844DE">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第三条 为保证乙方有效进行技术服务工作，甲方应当向乙方提供下列工作条件和协作事项：</w:t>
      </w:r>
    </w:p>
    <w:p w14:paraId="0695B491">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1．提供技术资料：</w:t>
      </w:r>
      <w:r>
        <w:rPr>
          <w:rFonts w:ascii="宋体" w:hAnsi="宋体" w:cs="宋体"/>
          <w:color w:val="auto"/>
          <w:sz w:val="24"/>
          <w:highlight w:val="none"/>
          <w:u w:val="single"/>
        </w:rPr>
        <w:t xml:space="preserve"> 设计施工图、施工方案等资料  </w:t>
      </w:r>
      <w:r>
        <w:rPr>
          <w:rFonts w:ascii="宋体" w:hAnsi="宋体" w:cs="宋体"/>
          <w:color w:val="auto"/>
          <w:sz w:val="24"/>
          <w:highlight w:val="none"/>
        </w:rPr>
        <w:t>。</w:t>
      </w:r>
    </w:p>
    <w:p w14:paraId="7B7D94D7">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第四条  甲方向乙方支付技术服务报酬及支付方式为：</w:t>
      </w:r>
    </w:p>
    <w:p w14:paraId="79E77DAC">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1．技术服务费总额为：</w:t>
      </w:r>
      <w:r>
        <w:rPr>
          <w:rFonts w:ascii="宋体" w:hAnsi="宋体" w:cs="宋体"/>
          <w:color w:val="auto"/>
          <w:sz w:val="24"/>
          <w:highlight w:val="none"/>
          <w:u w:val="single"/>
        </w:rPr>
        <w:t>人民币       元整（￥   ）,包含约定的所有服务内容所需的技术服务费、人工费、传感器安装费、埋设费、后期维护费、试验配合等所涉及的所有费用；签约合同价不随技术服务工程量、报告修改（或出具）次数、国家政策法规标准及市场因素等任何变化调整，合同服务期间须遵守国家相关政策规定；若发生不可抗力及突发性事件，乙方应无条件听从甲方指挥并配合处置，相关费用已包含在签约合同价内，甲方不再另行支付，如出现报价内容遗漏需产生额外费用，均由乙方自行承担，乙方应全面核算并足额计入所有可能发生的相关费用，项目实施过程中不得以此要求增加任何费用，并承担合同约定及政策性文件规定的所有工作开支、风险与责任。</w:t>
      </w:r>
    </w:p>
    <w:p w14:paraId="1CEF3F9B">
      <w:pPr>
        <w:spacing w:line="400" w:lineRule="exact"/>
        <w:ind w:firstLine="480" w:firstLineChars="200"/>
        <w:rPr>
          <w:rFonts w:ascii="宋体" w:hAnsi="宋体" w:cs="宋体"/>
          <w:color w:val="auto"/>
          <w:sz w:val="24"/>
          <w:highlight w:val="none"/>
        </w:rPr>
      </w:pPr>
      <w:r>
        <w:rPr>
          <w:rFonts w:ascii="宋体" w:hAnsi="宋体" w:cs="宋体"/>
          <w:color w:val="auto"/>
          <w:sz w:val="24"/>
          <w:highlight w:val="none"/>
        </w:rPr>
        <w:t>2.本合同付款方式：</w:t>
      </w:r>
    </w:p>
    <w:p w14:paraId="6E73249E">
      <w:pPr>
        <w:spacing w:line="400" w:lineRule="exact"/>
        <w:ind w:firstLine="480" w:firstLineChars="200"/>
        <w:rPr>
          <w:rFonts w:hint="default" w:ascii="宋体" w:hAnsi="宋体"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1</w:t>
      </w:r>
      <w:r>
        <w:rPr>
          <w:rFonts w:hint="eastAsia" w:cs="宋体"/>
          <w:color w:val="auto"/>
          <w:sz w:val="24"/>
          <w:highlight w:val="none"/>
          <w:lang w:eastAsia="zh-CN"/>
        </w:rPr>
        <w:t>）</w:t>
      </w:r>
      <w:r>
        <w:rPr>
          <w:rFonts w:hint="default" w:ascii="宋体" w:hAnsi="宋体" w:cs="宋体"/>
          <w:color w:val="auto"/>
          <w:sz w:val="24"/>
          <w:highlight w:val="none"/>
        </w:rPr>
        <w:t xml:space="preserve">合同签订前，承包人向发包人提交合同价的 </w:t>
      </w:r>
      <w:r>
        <w:rPr>
          <w:rFonts w:hint="eastAsia" w:ascii="宋体" w:hAnsi="宋体" w:cs="宋体"/>
          <w:color w:val="auto"/>
          <w:sz w:val="24"/>
          <w:highlight w:val="none"/>
          <w:lang w:val="en-US" w:eastAsia="zh-CN"/>
        </w:rPr>
        <w:t>1</w:t>
      </w:r>
      <w:r>
        <w:rPr>
          <w:rFonts w:hint="default" w:ascii="宋体" w:hAnsi="宋体" w:cs="宋体"/>
          <w:color w:val="auto"/>
          <w:sz w:val="24"/>
          <w:highlight w:val="none"/>
        </w:rPr>
        <w:t>% 作为履约保证金；</w:t>
      </w:r>
    </w:p>
    <w:p w14:paraId="312C7350">
      <w:pPr>
        <w:pStyle w:val="24"/>
        <w:ind w:left="479" w:leftChars="228" w:firstLine="0" w:firstLineChars="0"/>
        <w:rPr>
          <w:rFonts w:hint="eastAsia" w:ascii="宋体" w:hAnsi="宋体"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2</w:t>
      </w:r>
      <w:r>
        <w:rPr>
          <w:rFonts w:hint="eastAsia" w:cs="宋体"/>
          <w:color w:val="auto"/>
          <w:sz w:val="24"/>
          <w:highlight w:val="none"/>
          <w:lang w:eastAsia="zh-CN"/>
        </w:rPr>
        <w:t>）</w:t>
      </w:r>
      <w:r>
        <w:rPr>
          <w:rFonts w:hint="eastAsia" w:ascii="宋体" w:hAnsi="宋体" w:cs="宋体"/>
          <w:color w:val="auto"/>
          <w:sz w:val="24"/>
          <w:highlight w:val="none"/>
        </w:rPr>
        <w:t>全部施工监控工作完成，并提供完整的符合要求的报告后，支付合同价的40%，</w:t>
      </w:r>
    </w:p>
    <w:p w14:paraId="683F3946">
      <w:pPr>
        <w:pStyle w:val="24"/>
        <w:ind w:left="0" w:leftChars="0" w:firstLine="480" w:firstLineChars="200"/>
        <w:rPr>
          <w:rFonts w:hint="eastAsia" w:ascii="宋体" w:hAnsi="宋体"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3</w:t>
      </w:r>
      <w:r>
        <w:rPr>
          <w:rFonts w:hint="eastAsia" w:cs="宋体"/>
          <w:color w:val="auto"/>
          <w:sz w:val="24"/>
          <w:highlight w:val="none"/>
          <w:lang w:eastAsia="zh-CN"/>
        </w:rPr>
        <w:t>）</w:t>
      </w:r>
      <w:r>
        <w:rPr>
          <w:rFonts w:hint="eastAsia" w:ascii="宋体" w:hAnsi="宋体" w:cs="宋体"/>
          <w:color w:val="auto"/>
          <w:sz w:val="24"/>
          <w:highlight w:val="none"/>
        </w:rPr>
        <w:t>全部荷载试验完成，并提供完整的符合要求的报告后，支付合同价的40%；</w:t>
      </w:r>
    </w:p>
    <w:p w14:paraId="64DF051B">
      <w:pPr>
        <w:pStyle w:val="24"/>
        <w:ind w:left="0" w:leftChars="0" w:firstLine="480" w:firstLineChars="200"/>
        <w:rPr>
          <w:rFonts w:hint="eastAsia" w:ascii="宋体" w:hAnsi="宋体"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4</w:t>
      </w:r>
      <w:r>
        <w:rPr>
          <w:rFonts w:hint="eastAsia" w:cs="宋体"/>
          <w:color w:val="auto"/>
          <w:sz w:val="24"/>
          <w:highlight w:val="none"/>
          <w:lang w:eastAsia="zh-CN"/>
        </w:rPr>
        <w:t>）</w:t>
      </w:r>
      <w:r>
        <w:rPr>
          <w:rFonts w:hint="eastAsia" w:ascii="宋体" w:hAnsi="宋体" w:cs="宋体"/>
          <w:color w:val="auto"/>
          <w:sz w:val="24"/>
          <w:highlight w:val="none"/>
        </w:rPr>
        <w:t>剩余20% 待项目竣工验收合格后一个月内支付。</w:t>
      </w:r>
    </w:p>
    <w:p w14:paraId="5399353B">
      <w:pPr>
        <w:pStyle w:val="24"/>
        <w:rPr>
          <w:rFonts w:hint="eastAsia" w:ascii="宋体" w:hAnsi="宋体"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5</w:t>
      </w:r>
      <w:r>
        <w:rPr>
          <w:rFonts w:hint="eastAsia" w:cs="宋体"/>
          <w:color w:val="auto"/>
          <w:sz w:val="24"/>
          <w:highlight w:val="none"/>
          <w:lang w:eastAsia="zh-CN"/>
        </w:rPr>
        <w:t>）</w:t>
      </w:r>
      <w:r>
        <w:rPr>
          <w:rFonts w:hint="eastAsia" w:ascii="宋体" w:hAnsi="宋体" w:cs="宋体"/>
          <w:color w:val="auto"/>
          <w:sz w:val="24"/>
          <w:highlight w:val="none"/>
        </w:rPr>
        <w:t>施工监控过程、荷载试验过程、报告等不符合主管部门等相关单位要求的，或结果不客观、不真实的，建设单位有权扣除相应服务费用，并视情况处以1000-20000元/次的罚款。</w:t>
      </w:r>
    </w:p>
    <w:p w14:paraId="1FAF3818">
      <w:pPr>
        <w:adjustRightInd w:val="0"/>
        <w:spacing w:line="360" w:lineRule="auto"/>
        <w:ind w:firstLine="480" w:firstLineChars="200"/>
        <w:rPr>
          <w:rFonts w:hint="default" w:ascii="宋体" w:hAnsi="宋体" w:cs="宋体"/>
          <w:color w:val="auto"/>
          <w:sz w:val="24"/>
          <w:highlight w:val="none"/>
        </w:rPr>
      </w:pPr>
      <w:r>
        <w:rPr>
          <w:rFonts w:ascii="宋体" w:hAnsi="宋体" w:cs="宋体"/>
          <w:color w:val="auto"/>
          <w:sz w:val="24"/>
          <w:highlight w:val="none"/>
        </w:rPr>
        <w:t>（</w:t>
      </w:r>
      <w:r>
        <w:rPr>
          <w:rFonts w:hint="eastAsia" w:ascii="宋体" w:hAnsi="宋体" w:cs="宋体"/>
          <w:color w:val="auto"/>
          <w:sz w:val="24"/>
          <w:highlight w:val="none"/>
          <w:lang w:val="en-US" w:eastAsia="zh-CN"/>
        </w:rPr>
        <w:t>6</w:t>
      </w:r>
      <w:r>
        <w:rPr>
          <w:rFonts w:ascii="宋体" w:hAnsi="宋体" w:cs="宋体"/>
          <w:color w:val="auto"/>
          <w:sz w:val="24"/>
          <w:highlight w:val="none"/>
        </w:rPr>
        <w:t>）乙方应在甲方付款前向甲方提供合法、完整、有效的增值税专用发票，发票内容、税率、开具主体符合国家税务规定及本合同约定。乙方未提供或提供发票不合规的，甲方有权顺延付款，且不承担违约责任。</w:t>
      </w:r>
    </w:p>
    <w:p w14:paraId="1D274C75">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乙方开户银行名称、地址和账号为：</w:t>
      </w:r>
    </w:p>
    <w:p w14:paraId="36B69DFC">
      <w:pPr>
        <w:adjustRightInd w:val="0"/>
        <w:snapToGrid w:val="0"/>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u w:val="single"/>
        </w:rPr>
        <w:t xml:space="preserve">开户银行：                              </w:t>
      </w:r>
    </w:p>
    <w:p w14:paraId="0A72AA3B">
      <w:pPr>
        <w:adjustRightInd w:val="0"/>
        <w:snapToGrid w:val="0"/>
        <w:spacing w:line="400" w:lineRule="exact"/>
        <w:ind w:firstLine="480" w:firstLineChars="200"/>
        <w:rPr>
          <w:rFonts w:ascii="宋体" w:hAnsi="宋体" w:cs="宋体"/>
          <w:color w:val="auto"/>
          <w:sz w:val="24"/>
          <w:highlight w:val="none"/>
          <w:u w:val="single"/>
        </w:rPr>
      </w:pPr>
      <w:r>
        <w:rPr>
          <w:rFonts w:ascii="宋体" w:hAnsi="宋体" w:cs="宋体"/>
          <w:color w:val="auto"/>
          <w:sz w:val="24"/>
          <w:highlight w:val="none"/>
          <w:u w:val="single"/>
        </w:rPr>
        <w:t xml:space="preserve">账号：               账户：                        </w:t>
      </w:r>
    </w:p>
    <w:p w14:paraId="5C45C148">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第五条</w:t>
      </w:r>
      <w:r>
        <w:rPr>
          <w:rFonts w:hint="eastAsia" w:cs="宋体"/>
          <w:color w:val="auto"/>
          <w:sz w:val="24"/>
          <w:highlight w:val="none"/>
          <w:lang w:val="en-US" w:eastAsia="zh-CN"/>
        </w:rPr>
        <w:t xml:space="preserve">  双方</w:t>
      </w:r>
      <w:r>
        <w:rPr>
          <w:rFonts w:hint="eastAsia" w:ascii="宋体" w:hAnsi="宋体" w:cs="宋体"/>
          <w:color w:val="auto"/>
          <w:sz w:val="24"/>
          <w:highlight w:val="none"/>
        </w:rPr>
        <w:t>责任</w:t>
      </w:r>
    </w:p>
    <w:p w14:paraId="1359335B">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5.1</w:t>
      </w:r>
      <w:r>
        <w:rPr>
          <w:rFonts w:hint="eastAsia" w:cs="宋体"/>
          <w:color w:val="auto"/>
          <w:sz w:val="24"/>
          <w:highlight w:val="none"/>
          <w:lang w:val="en-US" w:eastAsia="zh-CN"/>
        </w:rPr>
        <w:t xml:space="preserve"> </w:t>
      </w:r>
      <w:r>
        <w:rPr>
          <w:rFonts w:hint="eastAsia" w:ascii="宋体" w:hAnsi="宋体" w:cs="宋体"/>
          <w:color w:val="auto"/>
          <w:sz w:val="24"/>
          <w:highlight w:val="none"/>
        </w:rPr>
        <w:t>发包人责任</w:t>
      </w:r>
    </w:p>
    <w:p w14:paraId="04DBA39D">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5.1.1应尊重承包人根据国家或行业有关标准进行监控量测工作的权力，不应提出与国家或行业标准、规定相抵触的要求。</w:t>
      </w:r>
    </w:p>
    <w:p w14:paraId="6C83EF7A">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5.1.2根据合同有关规定委托监理人向承包人提供现场及其它有关资料。</w:t>
      </w:r>
    </w:p>
    <w:p w14:paraId="7D856BA5">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5.1.3 对承包人的工作方案及人员组成进行审查，对项目技术质量进行监督。</w:t>
      </w:r>
    </w:p>
    <w:p w14:paraId="611E8323">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5.1.4负责协调监控量测过程中与有关单位的配合。</w:t>
      </w:r>
    </w:p>
    <w:p w14:paraId="2CF06D7F">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5.1.5按时支付承包人合同费用。</w:t>
      </w:r>
    </w:p>
    <w:p w14:paraId="45671309">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5.2承包人责任</w:t>
      </w:r>
    </w:p>
    <w:p w14:paraId="362AFD10">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5.2.1应按照国家及行业标准、规范、规程、技术条例进行监控量测工作。</w:t>
      </w:r>
    </w:p>
    <w:p w14:paraId="30382B35">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5.2.2 应按规定的内容、时间进度要求，编制监控量测组织设计，监控量测 措</w:t>
      </w:r>
    </w:p>
    <w:p w14:paraId="1AD1A0B0">
      <w:pPr>
        <w:pStyle w:val="24"/>
        <w:keepNext w:val="0"/>
        <w:keepLines w:val="0"/>
        <w:pageBreakBefore w:val="0"/>
        <w:widowControl w:val="0"/>
        <w:kinsoku/>
        <w:wordWrap/>
        <w:overflowPunct/>
        <w:topLinePunct w:val="0"/>
        <w:autoSpaceDE/>
        <w:autoSpaceDN/>
        <w:bidi w:val="0"/>
        <w:adjustRightInd w:val="0"/>
        <w:snapToGrid/>
        <w:spacing w:line="400" w:lineRule="exact"/>
        <w:ind w:firstLine="0" w:firstLineChars="0"/>
        <w:textAlignment w:val="auto"/>
        <w:rPr>
          <w:rFonts w:hint="eastAsia" w:ascii="宋体" w:hAnsi="宋体" w:cs="宋体"/>
          <w:color w:val="auto"/>
          <w:sz w:val="24"/>
          <w:highlight w:val="none"/>
        </w:rPr>
      </w:pPr>
      <w:r>
        <w:rPr>
          <w:rFonts w:hint="eastAsia" w:ascii="宋体" w:hAnsi="宋体" w:cs="宋体"/>
          <w:color w:val="auto"/>
          <w:sz w:val="24"/>
          <w:highlight w:val="none"/>
        </w:rPr>
        <w:t>施计划和实施监控量测测验工作。</w:t>
      </w:r>
    </w:p>
    <w:p w14:paraId="061ECA9A">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5.2.3 若因承包人工作失误或遗漏而造成监控量测工作中任何一项不符合  相关要求，或需对项目工作中缺陷或遗漏进行补救，则承包人应在发包人要求的  期限内，负责完成相关部分的补救工作，并免收损失部分的费用，造成工程重大损 失或重大质量事故，承包人要承担相关责任，赔偿经济损失。</w:t>
      </w:r>
    </w:p>
    <w:p w14:paraId="7E826C59">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5.2.4承包人应由投标文件所承诺的项目组完成本合同工作，并应确保其委 派的主要技术人员、主要岗位负责人在本合同期间持续稳定地在该项目组工作。 项目组的组织结构未经发包人的书面同意不得变更，发包人有权要求撤换不称职 的项目组成员，与此相关的费用及任何损害赔偿和责任均由承包人自行负责。</w:t>
      </w:r>
    </w:p>
    <w:p w14:paraId="67D89F3C">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5.2.5承包人对项目工作负有全部的最终技术责任和经济责任。在本合同执行 过程中，不因发包人对承包人工作的任何接触、检查、确认与批准而减轻或免除</w:t>
      </w:r>
    </w:p>
    <w:p w14:paraId="1CDCDAD0">
      <w:pPr>
        <w:pStyle w:val="24"/>
        <w:keepNext w:val="0"/>
        <w:keepLines w:val="0"/>
        <w:pageBreakBefore w:val="0"/>
        <w:widowControl w:val="0"/>
        <w:kinsoku/>
        <w:wordWrap/>
        <w:overflowPunct/>
        <w:topLinePunct w:val="0"/>
        <w:autoSpaceDE/>
        <w:autoSpaceDN/>
        <w:bidi w:val="0"/>
        <w:adjustRightInd w:val="0"/>
        <w:snapToGrid/>
        <w:spacing w:line="400" w:lineRule="exact"/>
        <w:ind w:firstLine="0" w:firstLineChars="0"/>
        <w:textAlignment w:val="auto"/>
        <w:rPr>
          <w:rFonts w:hint="eastAsia" w:ascii="宋体" w:hAnsi="宋体" w:cs="宋体"/>
          <w:color w:val="auto"/>
          <w:sz w:val="24"/>
          <w:highlight w:val="none"/>
        </w:rPr>
      </w:pPr>
      <w:r>
        <w:rPr>
          <w:rFonts w:hint="eastAsia" w:ascii="宋体" w:hAnsi="宋体" w:cs="宋体"/>
          <w:color w:val="auto"/>
          <w:sz w:val="24"/>
          <w:highlight w:val="none"/>
        </w:rPr>
        <w:t>承包人的任何责任。</w:t>
      </w:r>
    </w:p>
    <w:p w14:paraId="500A9062">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5.2.6承包人应自行负责核实委托方提供的任何资料的准确性和可靠性。在 任何情况下均不因发包人提供资料(包括但不限于工程所在区域有关的资料、地 质、水文及其他资料)的瑕疵而减轻或免除承包人的责任。</w:t>
      </w:r>
    </w:p>
    <w:p w14:paraId="0C45F577">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5.2.7承包人在现场监控量测工作中应服从监理单位现场管理。</w:t>
      </w:r>
    </w:p>
    <w:p w14:paraId="6301D519">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5.2.8根据发包人要求，按时完成相关工作，按期提交监控量测报告；</w:t>
      </w:r>
    </w:p>
    <w:p w14:paraId="11AC847B">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5.2.9严格按国家规范、标准进行监控量测，确保数据公正、准确；并提供 监控量测咨询服务。</w:t>
      </w:r>
    </w:p>
    <w:p w14:paraId="637AF336">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5.2.10承包人交付监控量测报告一式 捌份，并对其准确性和可靠性负责。 当发包人对部分监控量测项目的监控量测报告份数有特殊需要时，可另行约定。</w:t>
      </w:r>
    </w:p>
    <w:p w14:paraId="66012A84">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5.2.11承包人不得向第三人扩散、转让发包人提供的技术资料、文件，不 得泄露发包人的商业、技术秘密；发生上述情况，承包人应负法律责任，发包人 有权索赔。</w:t>
      </w:r>
    </w:p>
    <w:p w14:paraId="663DB002">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5.2.12遵守国家及当地有关部门对工作现场的有关管理规定，做好工作现 场保卫和环卫工作，并按发包人提出的保护要求(措施),保护好工作现场周围的 建、构筑物、地下管线(管道)、文物等。</w:t>
      </w:r>
    </w:p>
    <w:p w14:paraId="6A5FF58C">
      <w:pPr>
        <w:pStyle w:val="24"/>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宋体" w:hAnsi="宋体" w:cs="宋体"/>
          <w:color w:val="auto"/>
          <w:sz w:val="24"/>
          <w:highlight w:val="none"/>
          <w:u w:val="single"/>
        </w:rPr>
      </w:pPr>
      <w:r>
        <w:rPr>
          <w:rFonts w:hint="eastAsia" w:ascii="宋体" w:hAnsi="宋体" w:cs="宋体"/>
          <w:color w:val="auto"/>
          <w:sz w:val="24"/>
          <w:highlight w:val="none"/>
        </w:rPr>
        <w:t>5.2.13本合同有关条款规定和补充协议中承包人应负的责任。</w:t>
      </w:r>
      <w:r>
        <w:rPr>
          <w:rFonts w:ascii="宋体" w:hAnsi="宋体" w:cs="宋体"/>
          <w:color w:val="auto"/>
          <w:sz w:val="24"/>
          <w:highlight w:val="none"/>
        </w:rPr>
        <w:t>第五条</w:t>
      </w:r>
      <w:r>
        <w:rPr>
          <w:rFonts w:ascii="宋体" w:hAnsi="宋体" w:cs="宋体"/>
          <w:bCs/>
          <w:color w:val="auto"/>
          <w:sz w:val="24"/>
          <w:highlight w:val="none"/>
        </w:rPr>
        <w:t xml:space="preserve"> </w:t>
      </w:r>
      <w:r>
        <w:rPr>
          <w:rFonts w:ascii="宋体" w:hAnsi="宋体" w:cs="宋体"/>
          <w:color w:val="auto"/>
          <w:sz w:val="24"/>
          <w:highlight w:val="none"/>
        </w:rPr>
        <w:t xml:space="preserve"> 本合同的变更必须由双方协商一致，并以书面形式确定。但有下列情形之一的，一方可以向另一方提出变更合同权利与义务的请求，另一方应当在</w:t>
      </w:r>
      <w:r>
        <w:rPr>
          <w:rFonts w:ascii="宋体" w:hAnsi="宋体" w:cs="宋体"/>
          <w:color w:val="auto"/>
          <w:sz w:val="24"/>
          <w:highlight w:val="none"/>
          <w:u w:val="single"/>
        </w:rPr>
        <w:t xml:space="preserve"> 7  </w:t>
      </w:r>
      <w:r>
        <w:rPr>
          <w:rFonts w:ascii="宋体" w:hAnsi="宋体" w:cs="宋体"/>
          <w:color w:val="auto"/>
          <w:sz w:val="24"/>
          <w:highlight w:val="none"/>
        </w:rPr>
        <w:t>日内予以答复；逾期未予答复的，视为同意。</w:t>
      </w:r>
    </w:p>
    <w:p w14:paraId="3420F5B1">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第六条  双方确定：</w:t>
      </w:r>
    </w:p>
    <w:p w14:paraId="49EF1F21">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1．在本合同有效期内，甲方利用乙方提交的技术服务工作成果所完成的新的技术成果，归</w:t>
      </w:r>
      <w:r>
        <w:rPr>
          <w:rFonts w:ascii="宋体" w:hAnsi="宋体" w:cs="宋体"/>
          <w:color w:val="auto"/>
          <w:sz w:val="24"/>
          <w:highlight w:val="none"/>
          <w:u w:val="single"/>
        </w:rPr>
        <w:t xml:space="preserve"> 双 </w:t>
      </w:r>
      <w:r>
        <w:rPr>
          <w:rFonts w:ascii="宋体" w:hAnsi="宋体" w:cs="宋体"/>
          <w:color w:val="auto"/>
          <w:sz w:val="24"/>
          <w:highlight w:val="none"/>
        </w:rPr>
        <w:t>（甲、双）方所有。</w:t>
      </w:r>
    </w:p>
    <w:p w14:paraId="7B8E78DA">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2．在本合同有效期内，乙方利用甲方提供的技术资料和工作条件所完成的新的技术成果，归</w:t>
      </w:r>
      <w:r>
        <w:rPr>
          <w:rFonts w:ascii="宋体" w:hAnsi="宋体" w:cs="宋体"/>
          <w:color w:val="auto"/>
          <w:sz w:val="24"/>
          <w:highlight w:val="none"/>
          <w:u w:val="single"/>
        </w:rPr>
        <w:t xml:space="preserve">  双  </w:t>
      </w:r>
      <w:r>
        <w:rPr>
          <w:rFonts w:ascii="宋体" w:hAnsi="宋体" w:cs="宋体"/>
          <w:color w:val="auto"/>
          <w:sz w:val="24"/>
          <w:highlight w:val="none"/>
        </w:rPr>
        <w:t>（乙、双）方所有。</w:t>
      </w:r>
    </w:p>
    <w:p w14:paraId="4D58F95C">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第七条  双方确定，按以下约定承担各自的违约责任：</w:t>
      </w:r>
    </w:p>
    <w:p w14:paraId="65C60FF3">
      <w:pPr>
        <w:pStyle w:val="24"/>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1 由于发包人提供的资料、文件错误、不准确，造成工期延误或返工时，给予相应工期顺延。</w:t>
      </w:r>
    </w:p>
    <w:p w14:paraId="331F9687">
      <w:pPr>
        <w:pStyle w:val="24"/>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2 由于承包人原因延误工期或未按规定时间交付报告、成果、文件，每延误一天应承担以监测工程费百分之一计算的违约金。逾期超过十日，发包人有权单方面解除本合同，并有权要求承包人赔偿发包人全部损失。</w:t>
      </w:r>
    </w:p>
    <w:p w14:paraId="3E3F400A">
      <w:pPr>
        <w:pStyle w:val="24"/>
        <w:spacing w:line="400" w:lineRule="exact"/>
        <w:ind w:firstLine="480"/>
        <w:rPr>
          <w:rFonts w:hint="default" w:ascii="宋体" w:hAnsi="宋体" w:cs="宋体"/>
          <w:color w:val="auto"/>
          <w:sz w:val="24"/>
          <w:highlight w:val="none"/>
        </w:rPr>
      </w:pPr>
      <w:r>
        <w:rPr>
          <w:rFonts w:hint="eastAsia" w:ascii="宋体" w:hAnsi="宋体" w:cs="宋体"/>
          <w:color w:val="auto"/>
          <w:sz w:val="24"/>
          <w:highlight w:val="none"/>
        </w:rPr>
        <w:t>3 在合同履行期间，若因发包人原因要求终止或解除合同，承包人未开始工作的，发包人无需承担违约责任，但承包人已提交过履约保证金的，应无息返还承包人履约保证金。若因承包人原因发包人有权终止或解除合同，费用全部由承包人承担，且承担造成发包人的全部损失。</w:t>
      </w:r>
      <w:r>
        <w:rPr>
          <w:rFonts w:ascii="宋体" w:hAnsi="宋体" w:cs="宋体"/>
          <w:color w:val="auto"/>
          <w:sz w:val="24"/>
          <w:highlight w:val="none"/>
        </w:rPr>
        <w:t>。</w:t>
      </w:r>
    </w:p>
    <w:p w14:paraId="72C7972D">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第八条  双方确定，在本合同有效期内，甲方指定</w:t>
      </w:r>
      <w:r>
        <w:rPr>
          <w:rFonts w:ascii="宋体" w:hAnsi="宋体" w:cs="宋体"/>
          <w:color w:val="auto"/>
          <w:sz w:val="24"/>
          <w:highlight w:val="none"/>
          <w:u w:val="single"/>
        </w:rPr>
        <w:t xml:space="preserve">     </w:t>
      </w:r>
      <w:r>
        <w:rPr>
          <w:rFonts w:ascii="宋体" w:hAnsi="宋体" w:cs="宋体"/>
          <w:color w:val="auto"/>
          <w:sz w:val="24"/>
          <w:highlight w:val="none"/>
        </w:rPr>
        <w:t>为甲方项目联系人，乙方指定</w:t>
      </w:r>
      <w:r>
        <w:rPr>
          <w:rFonts w:ascii="宋体" w:hAnsi="宋体" w:cs="宋体"/>
          <w:color w:val="auto"/>
          <w:sz w:val="24"/>
          <w:highlight w:val="none"/>
          <w:u w:val="single"/>
        </w:rPr>
        <w:t xml:space="preserve">      </w:t>
      </w:r>
      <w:r>
        <w:rPr>
          <w:rFonts w:ascii="宋体" w:hAnsi="宋体" w:cs="宋体"/>
          <w:color w:val="auto"/>
          <w:sz w:val="24"/>
          <w:highlight w:val="none"/>
        </w:rPr>
        <w:t>为乙方项目联系人。项目联系人承担以下责任：</w:t>
      </w:r>
      <w:r>
        <w:rPr>
          <w:rFonts w:ascii="宋体" w:hAnsi="宋体" w:cs="宋体"/>
          <w:color w:val="auto"/>
          <w:sz w:val="24"/>
          <w:highlight w:val="none"/>
          <w:u w:val="single"/>
        </w:rPr>
        <w:t xml:space="preserve"> 协调本项目顺利进行。 </w:t>
      </w:r>
    </w:p>
    <w:p w14:paraId="095B467B">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一方变更项目联系人的，应当及时以书面形式通知另一方。未及时通知并影响本合同履行或造成损失的，应承担相应的责任。</w:t>
      </w:r>
    </w:p>
    <w:p w14:paraId="365327B8">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第九条  双方确定，出现下列情形，致使本合同的履行成为不必要或不可能的，可以解除本合同：</w:t>
      </w:r>
    </w:p>
    <w:p w14:paraId="1ED39E66">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1.发生不可抗力；</w:t>
      </w:r>
    </w:p>
    <w:p w14:paraId="0555F046">
      <w:pPr>
        <w:pStyle w:val="24"/>
        <w:spacing w:line="400" w:lineRule="exact"/>
        <w:ind w:firstLine="480"/>
        <w:rPr>
          <w:rFonts w:hint="default" w:ascii="宋体" w:hAnsi="宋体" w:cs="宋体"/>
          <w:color w:val="auto"/>
          <w:sz w:val="24"/>
          <w:highlight w:val="none"/>
          <w:u w:val="single"/>
        </w:rPr>
      </w:pPr>
      <w:r>
        <w:rPr>
          <w:rFonts w:ascii="宋体" w:hAnsi="宋体" w:cs="宋体"/>
          <w:color w:val="auto"/>
          <w:sz w:val="24"/>
          <w:highlight w:val="none"/>
        </w:rPr>
        <w:t>2.</w:t>
      </w:r>
      <w:r>
        <w:rPr>
          <w:rFonts w:ascii="宋体" w:hAnsi="宋体" w:cs="宋体"/>
          <w:color w:val="auto"/>
          <w:sz w:val="24"/>
          <w:highlight w:val="none"/>
          <w:u w:val="single"/>
        </w:rPr>
        <w:t xml:space="preserve"> 无 。 </w:t>
      </w:r>
    </w:p>
    <w:p w14:paraId="535E0990">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第十条  双方因履行本合同而发生的争议，应协商、调解解决。协商、调解不成的，确定按以下第</w:t>
      </w:r>
      <w:r>
        <w:rPr>
          <w:rFonts w:ascii="宋体" w:hAnsi="宋体" w:cs="宋体"/>
          <w:color w:val="auto"/>
          <w:sz w:val="24"/>
          <w:highlight w:val="none"/>
          <w:u w:val="single"/>
        </w:rPr>
        <w:t xml:space="preserve">  </w:t>
      </w:r>
      <w:r>
        <w:rPr>
          <w:rFonts w:hint="eastAsia" w:cs="宋体"/>
          <w:color w:val="auto"/>
          <w:sz w:val="24"/>
          <w:highlight w:val="none"/>
          <w:u w:val="single"/>
          <w:lang w:val="en-US" w:eastAsia="zh-CN"/>
        </w:rPr>
        <w:t>2</w:t>
      </w:r>
      <w:r>
        <w:rPr>
          <w:rFonts w:ascii="宋体" w:hAnsi="宋体" w:cs="宋体"/>
          <w:color w:val="auto"/>
          <w:sz w:val="24"/>
          <w:highlight w:val="none"/>
          <w:u w:val="single"/>
        </w:rPr>
        <w:t xml:space="preserve">  </w:t>
      </w:r>
      <w:r>
        <w:rPr>
          <w:rFonts w:ascii="宋体" w:hAnsi="宋体" w:cs="宋体"/>
          <w:color w:val="auto"/>
          <w:sz w:val="24"/>
          <w:highlight w:val="none"/>
        </w:rPr>
        <w:t>种方式处理：</w:t>
      </w:r>
    </w:p>
    <w:p w14:paraId="75AD5BDE">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1．提交</w:t>
      </w:r>
      <w:r>
        <w:rPr>
          <w:rFonts w:ascii="宋体" w:hAnsi="宋体" w:cs="宋体"/>
          <w:color w:val="auto"/>
          <w:sz w:val="24"/>
          <w:highlight w:val="none"/>
          <w:u w:val="single"/>
        </w:rPr>
        <w:t xml:space="preserve">   杭州   </w:t>
      </w:r>
      <w:r>
        <w:rPr>
          <w:rFonts w:ascii="宋体" w:hAnsi="宋体" w:cs="宋体"/>
          <w:color w:val="auto"/>
          <w:sz w:val="24"/>
          <w:highlight w:val="none"/>
        </w:rPr>
        <w:t>仲裁委员会仲裁；</w:t>
      </w:r>
    </w:p>
    <w:p w14:paraId="213F1AA2">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2．依法向</w:t>
      </w:r>
      <w:r>
        <w:rPr>
          <w:rFonts w:hint="eastAsia" w:cs="宋体"/>
          <w:color w:val="auto"/>
          <w:sz w:val="24"/>
          <w:highlight w:val="none"/>
          <w:lang w:val="en-US" w:eastAsia="zh-CN"/>
        </w:rPr>
        <w:t>项目所在地</w:t>
      </w:r>
      <w:r>
        <w:rPr>
          <w:rFonts w:ascii="宋体" w:hAnsi="宋体" w:cs="宋体"/>
          <w:color w:val="auto"/>
          <w:sz w:val="24"/>
          <w:highlight w:val="none"/>
        </w:rPr>
        <w:t>人民法院起诉。</w:t>
      </w:r>
    </w:p>
    <w:p w14:paraId="5FA97D2C">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第十一条  与履行本合同有关的下列技术文件，经双方以</w:t>
      </w:r>
      <w:r>
        <w:rPr>
          <w:rFonts w:ascii="宋体" w:hAnsi="宋体" w:cs="宋体"/>
          <w:color w:val="auto"/>
          <w:sz w:val="24"/>
          <w:highlight w:val="none"/>
          <w:u w:val="single"/>
        </w:rPr>
        <w:t xml:space="preserve"> 协商  </w:t>
      </w:r>
    </w:p>
    <w:p w14:paraId="5665342B">
      <w:pPr>
        <w:pStyle w:val="24"/>
        <w:spacing w:line="400" w:lineRule="exact"/>
        <w:ind w:firstLine="480"/>
        <w:rPr>
          <w:rFonts w:hint="default" w:ascii="宋体" w:hAnsi="宋体" w:cs="宋体"/>
          <w:color w:val="auto"/>
          <w:sz w:val="24"/>
          <w:highlight w:val="none"/>
        </w:rPr>
      </w:pPr>
      <w:r>
        <w:rPr>
          <w:rFonts w:ascii="宋体" w:hAnsi="宋体" w:cs="宋体"/>
          <w:color w:val="auto"/>
          <w:sz w:val="24"/>
          <w:highlight w:val="none"/>
        </w:rPr>
        <w:t>方式确认后，为本合同的组成部分：</w:t>
      </w:r>
    </w:p>
    <w:p w14:paraId="2B23002D">
      <w:pPr>
        <w:spacing w:line="400" w:lineRule="exact"/>
        <w:ind w:firstLine="480" w:firstLineChars="200"/>
        <w:rPr>
          <w:rFonts w:hint="default" w:ascii="宋体" w:hAnsi="宋体" w:cs="宋体"/>
          <w:color w:val="auto"/>
          <w:sz w:val="24"/>
          <w:highlight w:val="none"/>
          <w:u w:val="single"/>
        </w:rPr>
      </w:pPr>
      <w:r>
        <w:rPr>
          <w:rFonts w:ascii="宋体" w:hAnsi="宋体" w:cs="宋体"/>
          <w:color w:val="auto"/>
          <w:sz w:val="24"/>
          <w:highlight w:val="none"/>
        </w:rPr>
        <w:t>1.技术背景资料：</w:t>
      </w:r>
      <w:r>
        <w:rPr>
          <w:rFonts w:ascii="宋体" w:hAnsi="宋体" w:cs="宋体"/>
          <w:color w:val="auto"/>
          <w:sz w:val="24"/>
          <w:highlight w:val="none"/>
          <w:u w:val="single"/>
        </w:rPr>
        <w:t xml:space="preserve">  设计施工图、施工方案等资料；</w:t>
      </w:r>
    </w:p>
    <w:p w14:paraId="7F11541B">
      <w:pPr>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2.可行性论证报告：</w:t>
      </w:r>
      <w:r>
        <w:rPr>
          <w:rFonts w:ascii="宋体" w:hAnsi="宋体" w:cs="宋体"/>
          <w:color w:val="auto"/>
          <w:sz w:val="24"/>
          <w:highlight w:val="none"/>
          <w:u w:val="single"/>
        </w:rPr>
        <w:t>无</w:t>
      </w:r>
      <w:r>
        <w:rPr>
          <w:rFonts w:ascii="宋体" w:hAnsi="宋体" w:cs="宋体"/>
          <w:color w:val="auto"/>
          <w:sz w:val="24"/>
          <w:highlight w:val="none"/>
        </w:rPr>
        <w:t>；</w:t>
      </w:r>
    </w:p>
    <w:p w14:paraId="65D4F46B">
      <w:pPr>
        <w:adjustRightInd w:val="0"/>
        <w:snapToGrid w:val="0"/>
        <w:spacing w:line="400" w:lineRule="exact"/>
        <w:ind w:firstLine="480" w:firstLineChars="200"/>
        <w:rPr>
          <w:rFonts w:hint="default" w:ascii="宋体" w:hAnsi="宋体" w:cs="宋体"/>
          <w:color w:val="auto"/>
          <w:sz w:val="24"/>
          <w:highlight w:val="none"/>
          <w:u w:val="single"/>
        </w:rPr>
      </w:pPr>
      <w:r>
        <w:rPr>
          <w:rFonts w:ascii="宋体" w:hAnsi="宋体" w:cs="宋体"/>
          <w:color w:val="auto"/>
          <w:sz w:val="24"/>
          <w:highlight w:val="none"/>
        </w:rPr>
        <w:t>3.技术标准和规范：</w:t>
      </w:r>
      <w:r>
        <w:rPr>
          <w:rFonts w:ascii="宋体" w:hAnsi="宋体" w:cs="宋体"/>
          <w:color w:val="auto"/>
          <w:sz w:val="24"/>
          <w:highlight w:val="none"/>
          <w:u w:val="single"/>
        </w:rPr>
        <w:t xml:space="preserve"> </w:t>
      </w:r>
      <w:r>
        <w:rPr>
          <w:rFonts w:ascii="宋体" w:hAnsi="宋体" w:cs="宋体"/>
          <w:bCs/>
          <w:color w:val="auto"/>
          <w:sz w:val="24"/>
          <w:highlight w:val="none"/>
          <w:u w:val="single"/>
        </w:rPr>
        <w:t>《建筑与桥梁结构监测技术规范》（GB</w:t>
      </w:r>
      <w:r>
        <w:rPr>
          <w:rFonts w:hint="default" w:ascii="宋体" w:hAnsi="宋体" w:cs="宋体"/>
          <w:bCs/>
          <w:color w:val="auto"/>
          <w:sz w:val="24"/>
          <w:highlight w:val="none"/>
          <w:u w:val="single"/>
        </w:rPr>
        <w:t xml:space="preserve"> </w:t>
      </w:r>
      <w:r>
        <w:rPr>
          <w:rFonts w:ascii="宋体" w:hAnsi="宋体" w:cs="宋体"/>
          <w:bCs/>
          <w:color w:val="auto"/>
          <w:sz w:val="24"/>
          <w:highlight w:val="none"/>
          <w:u w:val="single"/>
        </w:rPr>
        <w:t>50982-2014）</w:t>
      </w:r>
      <w:r>
        <w:rPr>
          <w:rFonts w:ascii="宋体" w:hAnsi="宋体" w:cs="宋体"/>
          <w:color w:val="auto"/>
          <w:sz w:val="24"/>
          <w:highlight w:val="none"/>
          <w:u w:val="single"/>
        </w:rPr>
        <w:t>、</w:t>
      </w:r>
      <w:r>
        <w:rPr>
          <w:rFonts w:ascii="宋体" w:hAnsi="宋体" w:cs="宋体"/>
          <w:bCs/>
          <w:color w:val="auto"/>
          <w:sz w:val="24"/>
          <w:highlight w:val="none"/>
          <w:u w:val="single"/>
        </w:rPr>
        <w:t>《公路桥梁施工监控技术规程》（JTG/T 3650-01-2022）、《公路桥梁结构监测技术规范》（JT/T 1037-2022）、《公路桥梁荷载试验规程》（JTG/T J21-01-2015）、《城市桥梁检测与评定技术规范》（CJJ/T233-2015）</w:t>
      </w:r>
      <w:r>
        <w:rPr>
          <w:rFonts w:ascii="宋体" w:hAnsi="宋体" w:cs="宋体"/>
          <w:color w:val="auto"/>
          <w:sz w:val="24"/>
          <w:highlight w:val="none"/>
          <w:u w:val="single"/>
        </w:rPr>
        <w:t>。</w:t>
      </w:r>
    </w:p>
    <w:p w14:paraId="1FB1633A">
      <w:pPr>
        <w:adjustRightInd w:val="0"/>
        <w:snapToGrid w:val="0"/>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第十二条  本合同一式</w:t>
      </w:r>
      <w:r>
        <w:rPr>
          <w:rFonts w:ascii="宋体" w:hAnsi="宋体" w:cs="宋体"/>
          <w:color w:val="auto"/>
          <w:sz w:val="24"/>
          <w:highlight w:val="none"/>
          <w:u w:val="single"/>
        </w:rPr>
        <w:t>陆</w:t>
      </w:r>
      <w:r>
        <w:rPr>
          <w:rFonts w:ascii="宋体" w:hAnsi="宋体" w:cs="宋体"/>
          <w:color w:val="auto"/>
          <w:sz w:val="24"/>
          <w:highlight w:val="none"/>
        </w:rPr>
        <w:t>份，甲方执</w:t>
      </w:r>
      <w:r>
        <w:rPr>
          <w:rFonts w:ascii="宋体" w:hAnsi="宋体" w:cs="宋体"/>
          <w:color w:val="auto"/>
          <w:sz w:val="24"/>
          <w:highlight w:val="none"/>
          <w:u w:val="single"/>
        </w:rPr>
        <w:t>叁</w:t>
      </w:r>
      <w:r>
        <w:rPr>
          <w:rFonts w:ascii="宋体" w:hAnsi="宋体" w:cs="宋体"/>
          <w:color w:val="auto"/>
          <w:sz w:val="24"/>
          <w:highlight w:val="none"/>
        </w:rPr>
        <w:t>份，乙方执</w:t>
      </w:r>
      <w:r>
        <w:rPr>
          <w:rFonts w:ascii="宋体" w:hAnsi="宋体" w:cs="宋体"/>
          <w:color w:val="auto"/>
          <w:sz w:val="24"/>
          <w:highlight w:val="none"/>
          <w:u w:val="single"/>
        </w:rPr>
        <w:t>叁</w:t>
      </w:r>
      <w:r>
        <w:rPr>
          <w:rFonts w:ascii="宋体" w:hAnsi="宋体" w:cs="宋体"/>
          <w:color w:val="auto"/>
          <w:sz w:val="24"/>
          <w:highlight w:val="none"/>
        </w:rPr>
        <w:t>份，具有同等法律效力。</w:t>
      </w:r>
    </w:p>
    <w:p w14:paraId="1E554BAF">
      <w:pPr>
        <w:adjustRightInd w:val="0"/>
        <w:snapToGrid w:val="0"/>
        <w:spacing w:line="400" w:lineRule="exact"/>
        <w:ind w:firstLine="480" w:firstLineChars="200"/>
        <w:rPr>
          <w:rFonts w:hint="default" w:ascii="宋体" w:hAnsi="宋体" w:cs="宋体"/>
          <w:color w:val="auto"/>
          <w:sz w:val="24"/>
          <w:highlight w:val="none"/>
        </w:rPr>
      </w:pPr>
      <w:r>
        <w:rPr>
          <w:rFonts w:ascii="宋体" w:hAnsi="宋体" w:cs="宋体"/>
          <w:color w:val="auto"/>
          <w:sz w:val="24"/>
          <w:highlight w:val="none"/>
        </w:rPr>
        <w:t>第十三条  本合同经双方签字盖章后生效。</w:t>
      </w:r>
    </w:p>
    <w:p w14:paraId="18389204">
      <w:pPr>
        <w:adjustRightInd w:val="0"/>
        <w:snapToGrid w:val="0"/>
        <w:spacing w:line="400" w:lineRule="exact"/>
        <w:ind w:firstLine="480" w:firstLineChars="200"/>
        <w:rPr>
          <w:rFonts w:ascii="宋体" w:hAnsi="宋体"/>
          <w:color w:val="auto"/>
          <w:sz w:val="24"/>
          <w:szCs w:val="24"/>
          <w:highlight w:val="none"/>
        </w:rPr>
      </w:pPr>
    </w:p>
    <w:p w14:paraId="0C1547EE">
      <w:pPr>
        <w:adjustRightInd w:val="0"/>
        <w:snapToGrid w:val="0"/>
        <w:spacing w:line="400" w:lineRule="exact"/>
        <w:ind w:firstLine="480" w:firstLineChars="200"/>
        <w:rPr>
          <w:rFonts w:ascii="宋体" w:hAnsi="宋体"/>
          <w:color w:val="auto"/>
          <w:sz w:val="24"/>
          <w:szCs w:val="24"/>
          <w:highlight w:val="none"/>
        </w:rPr>
      </w:pPr>
    </w:p>
    <w:p w14:paraId="0749A423">
      <w:pPr>
        <w:adjustRightInd w:val="0"/>
        <w:snapToGrid w:val="0"/>
        <w:spacing w:line="400" w:lineRule="exact"/>
        <w:ind w:firstLine="480" w:firstLineChars="200"/>
        <w:rPr>
          <w:rFonts w:ascii="宋体" w:hAnsi="宋体"/>
          <w:color w:val="auto"/>
          <w:sz w:val="24"/>
          <w:szCs w:val="24"/>
          <w:highlight w:val="none"/>
        </w:rPr>
      </w:pPr>
    </w:p>
    <w:p w14:paraId="3B4F6FBF">
      <w:pPr>
        <w:adjustRightInd w:val="0"/>
        <w:snapToGrid w:val="0"/>
        <w:spacing w:line="400" w:lineRule="exact"/>
        <w:ind w:firstLine="480" w:firstLineChars="200"/>
        <w:rPr>
          <w:rFonts w:ascii="宋体" w:hAnsi="宋体"/>
          <w:color w:val="auto"/>
          <w:sz w:val="24"/>
          <w:szCs w:val="24"/>
          <w:highlight w:val="none"/>
        </w:rPr>
      </w:pPr>
    </w:p>
    <w:p w14:paraId="7D743BBC">
      <w:pPr>
        <w:adjustRightInd w:val="0"/>
        <w:snapToGrid w:val="0"/>
        <w:spacing w:line="400" w:lineRule="exact"/>
        <w:ind w:firstLine="480" w:firstLineChars="200"/>
        <w:rPr>
          <w:rFonts w:ascii="宋体" w:hAnsi="宋体"/>
          <w:color w:val="auto"/>
          <w:sz w:val="24"/>
          <w:szCs w:val="24"/>
          <w:highlight w:val="none"/>
        </w:rPr>
      </w:pPr>
    </w:p>
    <w:p w14:paraId="2C580C34">
      <w:pPr>
        <w:adjustRightInd w:val="0"/>
        <w:snapToGrid w:val="0"/>
        <w:spacing w:line="400" w:lineRule="exact"/>
        <w:ind w:firstLine="480" w:firstLineChars="200"/>
        <w:rPr>
          <w:rFonts w:hint="default" w:ascii="宋体" w:hAnsi="宋体"/>
          <w:color w:val="auto"/>
          <w:sz w:val="24"/>
          <w:szCs w:val="24"/>
          <w:highlight w:val="none"/>
        </w:rPr>
      </w:pPr>
      <w:r>
        <w:rPr>
          <w:rFonts w:ascii="宋体" w:hAnsi="宋体"/>
          <w:color w:val="auto"/>
          <w:sz w:val="24"/>
          <w:szCs w:val="24"/>
          <w:highlight w:val="none"/>
        </w:rPr>
        <w:t>甲方：</w:t>
      </w:r>
      <w:r>
        <w:rPr>
          <w:rFonts w:ascii="宋体" w:hAnsi="宋体"/>
          <w:color w:val="auto"/>
          <w:sz w:val="24"/>
          <w:szCs w:val="24"/>
          <w:highlight w:val="none"/>
          <w:u w:val="single"/>
        </w:rPr>
        <w:t xml:space="preserve"> </w:t>
      </w:r>
      <w:r>
        <w:rPr>
          <w:rFonts w:ascii="宋体" w:hAnsi="宋体" w:cs="宋体"/>
          <w:color w:val="auto"/>
          <w:sz w:val="24"/>
          <w:highlight w:val="none"/>
          <w:u w:val="single"/>
        </w:rPr>
        <w:t xml:space="preserve"> 杭州萧山城市基础设施建设有限公司</w:t>
      </w:r>
      <w:r>
        <w:rPr>
          <w:rFonts w:ascii="宋体" w:hAnsi="宋体"/>
          <w:color w:val="auto"/>
          <w:sz w:val="24"/>
          <w:szCs w:val="24"/>
          <w:highlight w:val="none"/>
          <w:u w:val="single"/>
        </w:rPr>
        <w:t xml:space="preserve">  </w:t>
      </w:r>
      <w:r>
        <w:rPr>
          <w:rFonts w:ascii="宋体" w:hAnsi="宋体"/>
          <w:color w:val="auto"/>
          <w:sz w:val="24"/>
          <w:szCs w:val="24"/>
          <w:highlight w:val="none"/>
        </w:rPr>
        <w:t>（盖章）</w:t>
      </w:r>
    </w:p>
    <w:p w14:paraId="2CA733E3">
      <w:pPr>
        <w:adjustRightInd w:val="0"/>
        <w:snapToGrid w:val="0"/>
        <w:spacing w:line="400" w:lineRule="exact"/>
        <w:ind w:firstLine="480" w:firstLineChars="200"/>
        <w:rPr>
          <w:rFonts w:hint="default" w:ascii="宋体" w:hAnsi="宋体"/>
          <w:color w:val="auto"/>
          <w:sz w:val="24"/>
          <w:szCs w:val="24"/>
          <w:highlight w:val="none"/>
        </w:rPr>
      </w:pPr>
      <w:r>
        <w:rPr>
          <w:rFonts w:ascii="宋体" w:hAnsi="宋体"/>
          <w:color w:val="auto"/>
          <w:sz w:val="24"/>
          <w:szCs w:val="24"/>
          <w:highlight w:val="none"/>
        </w:rPr>
        <w:t>法定代表人/委托代理人：</w:t>
      </w:r>
      <w:r>
        <w:rPr>
          <w:rFonts w:ascii="宋体" w:hAnsi="宋体"/>
          <w:color w:val="auto"/>
          <w:sz w:val="24"/>
          <w:szCs w:val="24"/>
          <w:highlight w:val="none"/>
          <w:u w:val="single"/>
        </w:rPr>
        <w:t xml:space="preserve">          </w:t>
      </w:r>
      <w:r>
        <w:rPr>
          <w:rFonts w:hint="default"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（签名） </w:t>
      </w:r>
    </w:p>
    <w:p w14:paraId="6D278373">
      <w:pPr>
        <w:adjustRightInd w:val="0"/>
        <w:snapToGrid w:val="0"/>
        <w:spacing w:line="400" w:lineRule="exact"/>
        <w:ind w:firstLine="480" w:firstLineChars="200"/>
        <w:rPr>
          <w:rFonts w:ascii="宋体" w:hAnsi="宋体"/>
          <w:color w:val="auto"/>
          <w:sz w:val="24"/>
          <w:szCs w:val="24"/>
          <w:highlight w:val="none"/>
        </w:rPr>
      </w:pPr>
    </w:p>
    <w:p w14:paraId="3BBB3664">
      <w:pPr>
        <w:adjustRightInd w:val="0"/>
        <w:snapToGrid w:val="0"/>
        <w:spacing w:line="400" w:lineRule="exact"/>
        <w:ind w:firstLine="480" w:firstLineChars="200"/>
        <w:rPr>
          <w:rFonts w:ascii="宋体" w:hAnsi="宋体"/>
          <w:color w:val="auto"/>
          <w:sz w:val="24"/>
          <w:szCs w:val="24"/>
          <w:highlight w:val="none"/>
        </w:rPr>
      </w:pPr>
    </w:p>
    <w:p w14:paraId="05344B84">
      <w:pPr>
        <w:adjustRightInd w:val="0"/>
        <w:snapToGrid w:val="0"/>
        <w:spacing w:line="400" w:lineRule="exact"/>
        <w:ind w:firstLine="480" w:firstLineChars="200"/>
        <w:rPr>
          <w:rFonts w:ascii="宋体" w:hAnsi="宋体"/>
          <w:color w:val="auto"/>
          <w:sz w:val="24"/>
          <w:szCs w:val="24"/>
          <w:highlight w:val="none"/>
        </w:rPr>
      </w:pPr>
    </w:p>
    <w:p w14:paraId="5AFDB0A9">
      <w:pPr>
        <w:adjustRightInd w:val="0"/>
        <w:snapToGrid w:val="0"/>
        <w:spacing w:line="400" w:lineRule="exact"/>
        <w:ind w:firstLine="480" w:firstLineChars="200"/>
        <w:rPr>
          <w:rFonts w:ascii="宋体" w:hAnsi="宋体"/>
          <w:color w:val="auto"/>
          <w:sz w:val="24"/>
          <w:szCs w:val="24"/>
          <w:highlight w:val="none"/>
        </w:rPr>
      </w:pPr>
    </w:p>
    <w:p w14:paraId="045E5446">
      <w:pPr>
        <w:adjustRightInd w:val="0"/>
        <w:snapToGrid w:val="0"/>
        <w:spacing w:line="400" w:lineRule="exact"/>
        <w:ind w:firstLine="480" w:firstLineChars="200"/>
        <w:rPr>
          <w:rFonts w:ascii="宋体" w:hAnsi="宋体"/>
          <w:color w:val="auto"/>
          <w:sz w:val="24"/>
          <w:szCs w:val="24"/>
          <w:highlight w:val="none"/>
        </w:rPr>
      </w:pPr>
    </w:p>
    <w:p w14:paraId="5519028C">
      <w:pPr>
        <w:adjustRightInd w:val="0"/>
        <w:snapToGrid w:val="0"/>
        <w:spacing w:line="400" w:lineRule="exact"/>
        <w:ind w:firstLine="480" w:firstLineChars="200"/>
        <w:rPr>
          <w:rFonts w:hint="default" w:ascii="宋体" w:hAnsi="宋体"/>
          <w:color w:val="auto"/>
          <w:sz w:val="24"/>
          <w:szCs w:val="24"/>
          <w:highlight w:val="none"/>
        </w:rPr>
      </w:pPr>
      <w:r>
        <w:rPr>
          <w:rFonts w:ascii="宋体" w:hAnsi="宋体"/>
          <w:color w:val="auto"/>
          <w:sz w:val="24"/>
          <w:szCs w:val="24"/>
          <w:highlight w:val="none"/>
        </w:rPr>
        <w:t>乙方：</w:t>
      </w:r>
      <w:r>
        <w:rPr>
          <w:rFonts w:ascii="宋体" w:hAnsi="宋体"/>
          <w:color w:val="auto"/>
          <w:sz w:val="24"/>
          <w:szCs w:val="24"/>
          <w:highlight w:val="none"/>
          <w:u w:val="single"/>
        </w:rPr>
        <w:t xml:space="preserve">                         </w:t>
      </w:r>
      <w:r>
        <w:rPr>
          <w:rFonts w:hint="default"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（盖章）</w:t>
      </w:r>
    </w:p>
    <w:p w14:paraId="7AC4FD13">
      <w:pPr>
        <w:adjustRightInd w:val="0"/>
        <w:snapToGrid w:val="0"/>
        <w:spacing w:line="400" w:lineRule="exact"/>
        <w:ind w:firstLine="480" w:firstLineChars="200"/>
        <w:rPr>
          <w:rFonts w:hint="default" w:ascii="宋体" w:hAnsi="宋体"/>
          <w:color w:val="auto"/>
          <w:sz w:val="24"/>
          <w:szCs w:val="24"/>
          <w:highlight w:val="none"/>
        </w:rPr>
      </w:pPr>
      <w:r>
        <w:rPr>
          <w:rFonts w:ascii="宋体" w:hAnsi="宋体"/>
          <w:color w:val="auto"/>
          <w:sz w:val="24"/>
          <w:szCs w:val="24"/>
          <w:highlight w:val="none"/>
        </w:rPr>
        <w:t>法定代表人/委托代理人：</w:t>
      </w:r>
      <w:r>
        <w:rPr>
          <w:rFonts w:ascii="宋体" w:hAnsi="宋体"/>
          <w:color w:val="auto"/>
          <w:sz w:val="24"/>
          <w:szCs w:val="24"/>
          <w:highlight w:val="none"/>
          <w:u w:val="single"/>
        </w:rPr>
        <w:t xml:space="preserve">                   </w:t>
      </w:r>
      <w:r>
        <w:rPr>
          <w:rFonts w:ascii="宋体" w:hAnsi="宋体"/>
          <w:color w:val="auto"/>
          <w:sz w:val="24"/>
          <w:szCs w:val="24"/>
          <w:highlight w:val="none"/>
        </w:rPr>
        <w:t>（签名）</w:t>
      </w:r>
    </w:p>
    <w:p w14:paraId="386654DA">
      <w:pPr>
        <w:adjustRightInd w:val="0"/>
        <w:snapToGrid w:val="0"/>
        <w:spacing w:line="400" w:lineRule="exact"/>
        <w:ind w:firstLine="480" w:firstLineChars="200"/>
        <w:rPr>
          <w:rFonts w:hint="default" w:ascii="宋体" w:hAnsi="宋体"/>
          <w:color w:val="auto"/>
          <w:sz w:val="24"/>
          <w:szCs w:val="24"/>
          <w:highlight w:val="none"/>
          <w:u w:val="single"/>
        </w:rPr>
      </w:pPr>
      <w:r>
        <w:rPr>
          <w:rFonts w:ascii="宋体" w:hAnsi="宋体"/>
          <w:color w:val="auto"/>
          <w:sz w:val="24"/>
          <w:szCs w:val="24"/>
          <w:highlight w:val="none"/>
        </w:rPr>
        <w:t>项目负责人：</w:t>
      </w:r>
      <w:r>
        <w:rPr>
          <w:rFonts w:ascii="宋体" w:hAnsi="宋体"/>
          <w:color w:val="auto"/>
          <w:sz w:val="24"/>
          <w:szCs w:val="24"/>
          <w:highlight w:val="none"/>
          <w:u w:val="single"/>
        </w:rPr>
        <w:t xml:space="preserve">                              </w:t>
      </w:r>
      <w:r>
        <w:rPr>
          <w:rFonts w:ascii="宋体" w:hAnsi="宋体"/>
          <w:color w:val="auto"/>
          <w:sz w:val="24"/>
          <w:szCs w:val="24"/>
          <w:highlight w:val="none"/>
        </w:rPr>
        <w:t>（签名）</w:t>
      </w:r>
    </w:p>
    <w:p w14:paraId="5622BB88">
      <w:pPr>
        <w:spacing w:line="400" w:lineRule="exact"/>
        <w:ind w:left="-420" w:leftChars="-200" w:right="-420" w:rightChars="-200" w:firstLine="480" w:firstLineChars="200"/>
        <w:jc w:val="center"/>
        <w:rPr>
          <w:rFonts w:hint="default" w:ascii="仿宋" w:hAnsi="仿宋" w:eastAsia="仿宋" w:cs="仿宋"/>
          <w:bCs/>
          <w:color w:val="auto"/>
          <w:sz w:val="24"/>
          <w:szCs w:val="24"/>
          <w:highlight w:val="none"/>
        </w:rPr>
      </w:pPr>
      <w:r>
        <w:rPr>
          <w:rFonts w:ascii="宋体" w:hAnsi="宋体"/>
          <w:color w:val="auto"/>
          <w:sz w:val="24"/>
          <w:szCs w:val="24"/>
          <w:highlight w:val="none"/>
        </w:rPr>
        <w:t xml:space="preserve">        年    月    日</w:t>
      </w:r>
    </w:p>
    <w:p w14:paraId="08284378">
      <w:pPr>
        <w:rPr>
          <w:rFonts w:ascii="仿宋" w:hAnsi="仿宋" w:eastAsia="仿宋" w:cs="仿宋"/>
          <w:color w:val="auto"/>
          <w:highlight w:val="none"/>
        </w:rPr>
      </w:pPr>
    </w:p>
    <w:p w14:paraId="40E365BE">
      <w:pPr>
        <w:rPr>
          <w:rFonts w:ascii="仿宋" w:hAnsi="仿宋" w:eastAsia="仿宋" w:cs="仿宋"/>
          <w:color w:val="auto"/>
          <w:highlight w:val="none"/>
        </w:rPr>
      </w:pPr>
    </w:p>
    <w:p w14:paraId="3E0057CA">
      <w:pPr>
        <w:rPr>
          <w:rFonts w:ascii="仿宋" w:hAnsi="仿宋" w:eastAsia="仿宋" w:cs="仿宋"/>
          <w:color w:val="auto"/>
          <w:highlight w:val="none"/>
        </w:rPr>
      </w:pPr>
    </w:p>
    <w:p w14:paraId="092E15C8">
      <w:pPr>
        <w:spacing w:line="360" w:lineRule="auto"/>
        <w:ind w:left="720" w:firstLine="723" w:firstLineChars="200"/>
        <w:outlineLvl w:val="0"/>
        <w:rPr>
          <w:rFonts w:ascii="仿宋" w:hAnsi="仿宋" w:eastAsia="仿宋" w:cs="仿宋"/>
          <w:b/>
          <w:color w:val="auto"/>
          <w:sz w:val="36"/>
          <w:szCs w:val="20"/>
          <w:highlight w:val="none"/>
        </w:rPr>
      </w:pPr>
    </w:p>
    <w:p w14:paraId="7926F522">
      <w:pPr>
        <w:spacing w:line="360" w:lineRule="auto"/>
        <w:ind w:left="720" w:firstLine="723" w:firstLineChars="200"/>
        <w:outlineLvl w:val="0"/>
        <w:rPr>
          <w:rFonts w:ascii="仿宋" w:hAnsi="仿宋" w:eastAsia="仿宋" w:cs="仿宋"/>
          <w:b/>
          <w:color w:val="auto"/>
          <w:sz w:val="36"/>
          <w:szCs w:val="20"/>
          <w:highlight w:val="none"/>
        </w:rPr>
      </w:pPr>
    </w:p>
    <w:p w14:paraId="73CD6352">
      <w:pPr>
        <w:spacing w:line="360" w:lineRule="auto"/>
        <w:ind w:left="720" w:firstLine="723" w:firstLineChars="200"/>
        <w:outlineLvl w:val="0"/>
        <w:rPr>
          <w:rFonts w:ascii="仿宋" w:hAnsi="仿宋" w:eastAsia="仿宋" w:cs="仿宋"/>
          <w:b/>
          <w:color w:val="auto"/>
          <w:sz w:val="36"/>
          <w:szCs w:val="20"/>
          <w:highlight w:val="none"/>
        </w:rPr>
      </w:pPr>
    </w:p>
    <w:p w14:paraId="5A3F31CA">
      <w:pPr>
        <w:spacing w:line="360" w:lineRule="auto"/>
        <w:ind w:left="720" w:firstLine="723" w:firstLineChars="200"/>
        <w:outlineLvl w:val="0"/>
        <w:rPr>
          <w:rFonts w:ascii="仿宋" w:hAnsi="仿宋" w:eastAsia="仿宋" w:cs="仿宋"/>
          <w:b/>
          <w:color w:val="auto"/>
          <w:sz w:val="36"/>
          <w:szCs w:val="20"/>
          <w:highlight w:val="none"/>
        </w:rPr>
      </w:pPr>
    </w:p>
    <w:p w14:paraId="2222D0FE">
      <w:pPr>
        <w:spacing w:line="360" w:lineRule="auto"/>
        <w:ind w:left="720" w:firstLine="723" w:firstLineChars="200"/>
        <w:outlineLvl w:val="0"/>
        <w:rPr>
          <w:rFonts w:ascii="仿宋" w:hAnsi="仿宋" w:eastAsia="仿宋" w:cs="仿宋"/>
          <w:b/>
          <w:color w:val="auto"/>
          <w:sz w:val="36"/>
          <w:szCs w:val="20"/>
          <w:highlight w:val="none"/>
        </w:rPr>
      </w:pPr>
    </w:p>
    <w:p w14:paraId="09500A99">
      <w:pPr>
        <w:spacing w:line="360" w:lineRule="auto"/>
        <w:ind w:left="720" w:firstLine="723" w:firstLineChars="200"/>
        <w:outlineLvl w:val="0"/>
        <w:rPr>
          <w:rFonts w:ascii="仿宋" w:hAnsi="仿宋" w:eastAsia="仿宋" w:cs="仿宋"/>
          <w:b/>
          <w:color w:val="auto"/>
          <w:sz w:val="36"/>
          <w:szCs w:val="20"/>
          <w:highlight w:val="none"/>
        </w:rPr>
      </w:pPr>
    </w:p>
    <w:p w14:paraId="309CF3D6">
      <w:pPr>
        <w:spacing w:line="360" w:lineRule="auto"/>
        <w:ind w:left="720" w:firstLine="723" w:firstLineChars="200"/>
        <w:outlineLvl w:val="0"/>
        <w:rPr>
          <w:rFonts w:ascii="仿宋" w:hAnsi="仿宋" w:eastAsia="仿宋" w:cs="仿宋"/>
          <w:b/>
          <w:color w:val="auto"/>
          <w:sz w:val="36"/>
          <w:szCs w:val="20"/>
          <w:highlight w:val="none"/>
        </w:rPr>
      </w:pPr>
    </w:p>
    <w:p w14:paraId="7EBF22D0">
      <w:pPr>
        <w:spacing w:line="360" w:lineRule="auto"/>
        <w:ind w:left="720" w:firstLine="723" w:firstLineChars="200"/>
        <w:outlineLvl w:val="0"/>
        <w:rPr>
          <w:rFonts w:ascii="仿宋" w:hAnsi="仿宋" w:eastAsia="仿宋" w:cs="仿宋"/>
          <w:b/>
          <w:color w:val="auto"/>
          <w:sz w:val="36"/>
          <w:szCs w:val="20"/>
          <w:highlight w:val="none"/>
        </w:rPr>
      </w:pPr>
    </w:p>
    <w:p w14:paraId="508FB450">
      <w:pPr>
        <w:spacing w:line="360" w:lineRule="auto"/>
        <w:ind w:left="720" w:firstLine="723" w:firstLineChars="200"/>
        <w:outlineLvl w:val="0"/>
        <w:rPr>
          <w:rFonts w:ascii="仿宋" w:hAnsi="仿宋" w:eastAsia="仿宋" w:cs="仿宋"/>
          <w:b/>
          <w:color w:val="auto"/>
          <w:sz w:val="36"/>
          <w:szCs w:val="20"/>
          <w:highlight w:val="none"/>
        </w:rPr>
      </w:pPr>
    </w:p>
    <w:p w14:paraId="1DA81EF1">
      <w:pPr>
        <w:spacing w:line="360" w:lineRule="auto"/>
        <w:ind w:left="720" w:firstLine="723" w:firstLineChars="200"/>
        <w:outlineLvl w:val="0"/>
        <w:rPr>
          <w:rFonts w:ascii="仿宋" w:hAnsi="仿宋" w:eastAsia="仿宋" w:cs="仿宋"/>
          <w:b/>
          <w:color w:val="auto"/>
          <w:sz w:val="36"/>
          <w:szCs w:val="20"/>
          <w:highlight w:val="none"/>
        </w:rPr>
      </w:pPr>
    </w:p>
    <w:p w14:paraId="35664718">
      <w:pPr>
        <w:spacing w:line="360" w:lineRule="auto"/>
        <w:ind w:left="720" w:firstLine="723" w:firstLineChars="200"/>
        <w:outlineLvl w:val="0"/>
        <w:rPr>
          <w:rFonts w:ascii="仿宋" w:hAnsi="仿宋" w:eastAsia="仿宋" w:cs="仿宋"/>
          <w:b/>
          <w:color w:val="auto"/>
          <w:sz w:val="36"/>
          <w:szCs w:val="20"/>
          <w:highlight w:val="none"/>
        </w:rPr>
      </w:pPr>
      <w:r>
        <w:rPr>
          <w:rFonts w:hint="eastAsia" w:ascii="仿宋" w:hAnsi="仿宋" w:eastAsia="仿宋" w:cs="仿宋"/>
          <w:b/>
          <w:color w:val="auto"/>
          <w:sz w:val="36"/>
          <w:szCs w:val="20"/>
          <w:highlight w:val="none"/>
        </w:rPr>
        <w:t>第六部分 应提交的有关格式范例</w:t>
      </w:r>
    </w:p>
    <w:p w14:paraId="260E19F5">
      <w:pPr>
        <w:spacing w:line="360" w:lineRule="auto"/>
        <w:jc w:val="center"/>
        <w:outlineLvl w:val="0"/>
        <w:rPr>
          <w:rFonts w:ascii="仿宋" w:hAnsi="仿宋" w:eastAsia="仿宋" w:cs="仿宋"/>
          <w:b/>
          <w:color w:val="auto"/>
          <w:kern w:val="0"/>
          <w:sz w:val="36"/>
          <w:szCs w:val="36"/>
          <w:highlight w:val="none"/>
        </w:rPr>
      </w:pPr>
    </w:p>
    <w:p w14:paraId="49F2708E">
      <w:pPr>
        <w:spacing w:line="360" w:lineRule="auto"/>
        <w:jc w:val="center"/>
        <w:outlineLvl w:val="0"/>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资格文件部分</w:t>
      </w:r>
    </w:p>
    <w:p w14:paraId="2CEC5CEC">
      <w:pPr>
        <w:spacing w:line="360" w:lineRule="auto"/>
        <w:jc w:val="center"/>
        <w:outlineLvl w:val="0"/>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目录</w:t>
      </w:r>
    </w:p>
    <w:p w14:paraId="79118538">
      <w:pPr>
        <w:spacing w:line="360" w:lineRule="auto"/>
        <w:jc w:val="center"/>
        <w:outlineLvl w:val="0"/>
        <w:rPr>
          <w:rFonts w:ascii="仿宋" w:hAnsi="仿宋" w:eastAsia="仿宋" w:cs="仿宋"/>
          <w:b/>
          <w:color w:val="auto"/>
          <w:kern w:val="0"/>
          <w:sz w:val="36"/>
          <w:szCs w:val="36"/>
          <w:highlight w:val="none"/>
        </w:rPr>
      </w:pPr>
    </w:p>
    <w:p w14:paraId="7296C7B5">
      <w:pPr>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（1）符合参加采购活动应当具备的一般条件的承诺函……………（页码）</w:t>
      </w:r>
    </w:p>
    <w:p w14:paraId="4456AB43">
      <w:pPr>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（2）本项目的特定资格要求………………………………………………（页码）</w:t>
      </w:r>
    </w:p>
    <w:p w14:paraId="266A1B9B">
      <w:pPr>
        <w:snapToGrid w:val="0"/>
        <w:spacing w:line="360" w:lineRule="auto"/>
        <w:ind w:firstLine="480" w:firstLineChars="200"/>
        <w:rPr>
          <w:rFonts w:ascii="仿宋" w:hAnsi="仿宋" w:eastAsia="仿宋" w:cs="仿宋"/>
          <w:color w:val="auto"/>
          <w:sz w:val="24"/>
          <w:highlight w:val="none"/>
        </w:rPr>
      </w:pPr>
    </w:p>
    <w:p w14:paraId="4E2DA632">
      <w:pPr>
        <w:spacing w:line="360" w:lineRule="auto"/>
        <w:ind w:firstLine="480" w:firstLineChars="200"/>
        <w:rPr>
          <w:rFonts w:ascii="仿宋" w:hAnsi="仿宋" w:eastAsia="仿宋" w:cs="仿宋"/>
          <w:color w:val="auto"/>
          <w:sz w:val="24"/>
          <w:highlight w:val="none"/>
        </w:rPr>
      </w:pPr>
    </w:p>
    <w:p w14:paraId="0CD02B93">
      <w:pPr>
        <w:snapToGrid w:val="0"/>
        <w:spacing w:line="360" w:lineRule="auto"/>
        <w:ind w:right="480"/>
        <w:jc w:val="center"/>
        <w:rPr>
          <w:rFonts w:ascii="仿宋" w:hAnsi="仿宋" w:eastAsia="仿宋" w:cs="仿宋"/>
          <w:b/>
          <w:color w:val="auto"/>
          <w:kern w:val="0"/>
          <w:sz w:val="32"/>
          <w:szCs w:val="32"/>
          <w:highlight w:val="none"/>
        </w:rPr>
      </w:pPr>
      <w:r>
        <w:rPr>
          <w:rFonts w:hint="eastAsia" w:ascii="仿宋" w:hAnsi="仿宋" w:eastAsia="仿宋" w:cs="仿宋"/>
          <w:color w:val="auto"/>
          <w:kern w:val="0"/>
          <w:sz w:val="24"/>
          <w:highlight w:val="none"/>
        </w:rPr>
        <w:br w:type="page"/>
      </w:r>
      <w:r>
        <w:rPr>
          <w:rFonts w:hint="eastAsia" w:ascii="仿宋" w:hAnsi="仿宋" w:eastAsia="仿宋" w:cs="仿宋"/>
          <w:b/>
          <w:color w:val="auto"/>
          <w:kern w:val="0"/>
          <w:sz w:val="32"/>
          <w:szCs w:val="32"/>
          <w:highlight w:val="none"/>
        </w:rPr>
        <w:t xml:space="preserve">  一、 符合参加采购活动应当具备的一般条件的承诺函</w:t>
      </w:r>
    </w:p>
    <w:p w14:paraId="61BEC97A">
      <w:pPr>
        <w:snapToGrid w:val="0"/>
        <w:spacing w:line="360" w:lineRule="auto"/>
        <w:rPr>
          <w:rFonts w:ascii="仿宋" w:hAnsi="仿宋" w:eastAsia="仿宋" w:cs="仿宋"/>
          <w:color w:val="auto"/>
          <w:sz w:val="24"/>
          <w:highlight w:val="none"/>
        </w:rPr>
      </w:pPr>
    </w:p>
    <w:p w14:paraId="257EBAB2">
      <w:pPr>
        <w:snapToGrid w:val="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（交易发起人）、（采购代理机构）：</w:t>
      </w:r>
    </w:p>
    <w:p w14:paraId="7CAF569F">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我方参与</w:t>
      </w:r>
      <w:r>
        <w:rPr>
          <w:rFonts w:hint="eastAsia" w:ascii="仿宋" w:hAnsi="仿宋" w:eastAsia="仿宋" w:cs="仿宋"/>
          <w:color w:val="auto"/>
          <w:sz w:val="24"/>
          <w:highlight w:val="none"/>
          <w:u w:val="single"/>
        </w:rPr>
        <w:t>（项目名称）【交易编号：】</w:t>
      </w:r>
      <w:r>
        <w:rPr>
          <w:rFonts w:hint="eastAsia" w:ascii="仿宋" w:hAnsi="仿宋" w:eastAsia="仿宋" w:cs="仿宋"/>
          <w:color w:val="auto"/>
          <w:sz w:val="24"/>
          <w:highlight w:val="none"/>
        </w:rPr>
        <w:t>采购活动，郑重承诺：</w:t>
      </w:r>
    </w:p>
    <w:p w14:paraId="24FD7ED8">
      <w:pPr>
        <w:snapToGrid w:val="0"/>
        <w:spacing w:line="360" w:lineRule="auto"/>
        <w:ind w:firstLine="360" w:firstLineChars="150"/>
        <w:rPr>
          <w:rFonts w:ascii="仿宋" w:hAnsi="仿宋" w:eastAsia="仿宋" w:cs="仿宋"/>
          <w:color w:val="auto"/>
          <w:sz w:val="24"/>
          <w:highlight w:val="none"/>
        </w:rPr>
      </w:pPr>
      <w:r>
        <w:rPr>
          <w:rFonts w:hint="eastAsia" w:ascii="仿宋" w:hAnsi="仿宋" w:eastAsia="仿宋" w:cs="仿宋"/>
          <w:color w:val="auto"/>
          <w:sz w:val="24"/>
          <w:highlight w:val="none"/>
        </w:rPr>
        <w:t>（一）具备以下条件：</w:t>
      </w:r>
    </w:p>
    <w:p w14:paraId="2B1C8962">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1、具有独立承担民事责任的能力；</w:t>
      </w:r>
    </w:p>
    <w:p w14:paraId="7AD52F09">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2、具有良好的商业信誉和健全的财务会计制度； </w:t>
      </w:r>
    </w:p>
    <w:p w14:paraId="6E2E3AA3">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3、具有履行合同所必需的设备和专业技术能力；</w:t>
      </w:r>
    </w:p>
    <w:p w14:paraId="2636B478">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4、有依法缴纳税收和社会保障资金的良好记录；</w:t>
      </w:r>
    </w:p>
    <w:p w14:paraId="78C365A2">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5、参加采购活动前三年内，在经营活动中没有重大违法记录；</w:t>
      </w:r>
    </w:p>
    <w:p w14:paraId="31435D26">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6、具有法律、行政法规规定的其他条件。</w:t>
      </w:r>
    </w:p>
    <w:p w14:paraId="09B12EDA">
      <w:pPr>
        <w:snapToGrid w:val="0"/>
        <w:spacing w:line="360" w:lineRule="auto"/>
        <w:ind w:firstLine="5520" w:firstLineChars="2300"/>
        <w:rPr>
          <w:rFonts w:ascii="仿宋" w:hAnsi="仿宋" w:eastAsia="仿宋" w:cs="仿宋"/>
          <w:color w:val="auto"/>
          <w:kern w:val="0"/>
          <w:sz w:val="24"/>
          <w:highlight w:val="none"/>
          <w:lang w:val="zh-CN"/>
        </w:rPr>
      </w:pPr>
    </w:p>
    <w:p w14:paraId="55AB2904">
      <w:pPr>
        <w:snapToGrid w:val="0"/>
        <w:spacing w:line="360" w:lineRule="auto"/>
        <w:ind w:firstLine="5520" w:firstLineChars="2300"/>
        <w:rPr>
          <w:rFonts w:ascii="仿宋" w:hAnsi="仿宋" w:eastAsia="仿宋" w:cs="仿宋"/>
          <w:color w:val="auto"/>
          <w:kern w:val="0"/>
          <w:sz w:val="24"/>
          <w:highlight w:val="none"/>
          <w:lang w:val="zh-CN"/>
        </w:rPr>
      </w:pPr>
    </w:p>
    <w:p w14:paraId="7966E304">
      <w:pPr>
        <w:snapToGrid w:val="0"/>
        <w:spacing w:line="360" w:lineRule="auto"/>
        <w:ind w:firstLine="5520" w:firstLineChars="2300"/>
        <w:rPr>
          <w:rFonts w:ascii="仿宋" w:hAnsi="仿宋" w:eastAsia="仿宋" w:cs="仿宋"/>
          <w:color w:val="auto"/>
          <w:kern w:val="0"/>
          <w:sz w:val="24"/>
          <w:highlight w:val="none"/>
          <w:lang w:val="zh-CN"/>
        </w:rPr>
      </w:pPr>
    </w:p>
    <w:p w14:paraId="5D2303A1">
      <w:pPr>
        <w:snapToGrid w:val="0"/>
        <w:spacing w:line="360" w:lineRule="auto"/>
        <w:ind w:firstLine="5520" w:firstLineChars="2300"/>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供应商名称(电子签名)：</w:t>
      </w:r>
    </w:p>
    <w:p w14:paraId="27F79BE4">
      <w:pPr>
        <w:snapToGrid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 xml:space="preserve">                        </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日期</w:t>
      </w:r>
      <w:r>
        <w:rPr>
          <w:rFonts w:hint="eastAsia" w:ascii="仿宋" w:hAnsi="仿宋" w:eastAsia="仿宋" w:cs="仿宋"/>
          <w:color w:val="auto"/>
          <w:kern w:val="0"/>
          <w:sz w:val="24"/>
          <w:highlight w:val="none"/>
        </w:rPr>
        <w:t xml:space="preserve">：  年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w:t>
      </w:r>
    </w:p>
    <w:p w14:paraId="68DC6737">
      <w:pPr>
        <w:snapToGrid w:val="0"/>
        <w:spacing w:line="360" w:lineRule="auto"/>
        <w:ind w:right="480"/>
        <w:jc w:val="center"/>
        <w:rPr>
          <w:rFonts w:ascii="仿宋" w:hAnsi="仿宋" w:eastAsia="仿宋" w:cs="仿宋"/>
          <w:b/>
          <w:color w:val="auto"/>
          <w:kern w:val="0"/>
          <w:sz w:val="32"/>
          <w:szCs w:val="32"/>
          <w:highlight w:val="none"/>
        </w:rPr>
      </w:pPr>
    </w:p>
    <w:p w14:paraId="0FF3CEC8">
      <w:pPr>
        <w:snapToGrid w:val="0"/>
        <w:spacing w:line="360" w:lineRule="auto"/>
        <w:ind w:right="480"/>
        <w:jc w:val="center"/>
        <w:rPr>
          <w:rFonts w:ascii="仿宋" w:hAnsi="仿宋" w:eastAsia="仿宋" w:cs="仿宋"/>
          <w:b/>
          <w:color w:val="auto"/>
          <w:kern w:val="0"/>
          <w:sz w:val="32"/>
          <w:szCs w:val="32"/>
          <w:highlight w:val="none"/>
        </w:rPr>
      </w:pPr>
    </w:p>
    <w:p w14:paraId="6538D66A">
      <w:pPr>
        <w:snapToGrid w:val="0"/>
        <w:spacing w:line="360" w:lineRule="auto"/>
        <w:ind w:right="480"/>
        <w:jc w:val="center"/>
        <w:rPr>
          <w:rFonts w:ascii="仿宋" w:hAnsi="仿宋" w:eastAsia="仿宋" w:cs="仿宋"/>
          <w:b/>
          <w:color w:val="auto"/>
          <w:kern w:val="0"/>
          <w:sz w:val="32"/>
          <w:szCs w:val="32"/>
          <w:highlight w:val="none"/>
        </w:rPr>
      </w:pPr>
    </w:p>
    <w:p w14:paraId="5649A749">
      <w:pPr>
        <w:rPr>
          <w:rFonts w:ascii="仿宋" w:hAnsi="仿宋" w:eastAsia="仿宋" w:cs="仿宋"/>
          <w:color w:val="auto"/>
          <w:highlight w:val="none"/>
        </w:rPr>
      </w:pPr>
    </w:p>
    <w:p w14:paraId="62450598">
      <w:pPr>
        <w:rPr>
          <w:rFonts w:ascii="仿宋" w:hAnsi="仿宋" w:eastAsia="仿宋" w:cs="仿宋"/>
          <w:b/>
          <w:color w:val="auto"/>
          <w:kern w:val="0"/>
          <w:sz w:val="32"/>
          <w:szCs w:val="32"/>
          <w:highlight w:val="none"/>
        </w:rPr>
      </w:pPr>
    </w:p>
    <w:p w14:paraId="42925FAF">
      <w:pPr>
        <w:widowControl/>
        <w:spacing w:line="360" w:lineRule="auto"/>
        <w:ind w:left="150"/>
        <w:jc w:val="center"/>
        <w:rPr>
          <w:rFonts w:ascii="仿宋" w:hAnsi="仿宋" w:eastAsia="仿宋" w:cs="仿宋"/>
          <w:b/>
          <w:color w:val="auto"/>
          <w:kern w:val="0"/>
          <w:sz w:val="32"/>
          <w:szCs w:val="32"/>
          <w:highlight w:val="none"/>
        </w:rPr>
      </w:pPr>
    </w:p>
    <w:p w14:paraId="2E6A6D4A">
      <w:pPr>
        <w:widowControl/>
        <w:spacing w:line="360" w:lineRule="auto"/>
        <w:ind w:left="150"/>
        <w:jc w:val="center"/>
        <w:rPr>
          <w:rFonts w:ascii="仿宋" w:hAnsi="仿宋" w:eastAsia="仿宋" w:cs="仿宋"/>
          <w:b/>
          <w:color w:val="auto"/>
          <w:kern w:val="0"/>
          <w:sz w:val="32"/>
          <w:szCs w:val="32"/>
          <w:highlight w:val="none"/>
        </w:rPr>
      </w:pPr>
    </w:p>
    <w:p w14:paraId="4BFD9733">
      <w:pPr>
        <w:widowControl/>
        <w:spacing w:line="360" w:lineRule="auto"/>
        <w:ind w:left="150"/>
        <w:jc w:val="center"/>
        <w:rPr>
          <w:rFonts w:ascii="仿宋" w:hAnsi="仿宋" w:eastAsia="仿宋" w:cs="仿宋"/>
          <w:b/>
          <w:color w:val="auto"/>
          <w:kern w:val="0"/>
          <w:sz w:val="32"/>
          <w:szCs w:val="32"/>
          <w:highlight w:val="none"/>
        </w:rPr>
      </w:pPr>
    </w:p>
    <w:p w14:paraId="1834D325">
      <w:pPr>
        <w:widowControl/>
        <w:spacing w:line="360" w:lineRule="auto"/>
        <w:ind w:left="150"/>
        <w:jc w:val="center"/>
        <w:rPr>
          <w:rFonts w:ascii="仿宋" w:hAnsi="仿宋" w:eastAsia="仿宋" w:cs="仿宋"/>
          <w:b/>
          <w:color w:val="auto"/>
          <w:kern w:val="0"/>
          <w:sz w:val="32"/>
          <w:szCs w:val="32"/>
          <w:highlight w:val="none"/>
        </w:rPr>
      </w:pPr>
    </w:p>
    <w:p w14:paraId="04F18C25">
      <w:pPr>
        <w:widowControl/>
        <w:spacing w:line="360" w:lineRule="auto"/>
        <w:ind w:left="150"/>
        <w:jc w:val="center"/>
        <w:rPr>
          <w:rFonts w:ascii="仿宋" w:hAnsi="仿宋" w:eastAsia="仿宋" w:cs="仿宋"/>
          <w:b/>
          <w:color w:val="auto"/>
          <w:kern w:val="0"/>
          <w:sz w:val="32"/>
          <w:szCs w:val="32"/>
          <w:highlight w:val="none"/>
        </w:rPr>
      </w:pPr>
    </w:p>
    <w:p w14:paraId="119DF3A7">
      <w:pPr>
        <w:widowControl/>
        <w:spacing w:line="360" w:lineRule="auto"/>
        <w:ind w:left="150"/>
        <w:jc w:val="center"/>
        <w:rPr>
          <w:rFonts w:ascii="仿宋" w:hAnsi="仿宋" w:eastAsia="仿宋" w:cs="仿宋"/>
          <w:b/>
          <w:color w:val="auto"/>
          <w:kern w:val="0"/>
          <w:sz w:val="32"/>
          <w:szCs w:val="32"/>
          <w:highlight w:val="none"/>
        </w:rPr>
      </w:pPr>
    </w:p>
    <w:p w14:paraId="469E545C">
      <w:pPr>
        <w:widowControl/>
        <w:spacing w:line="360" w:lineRule="auto"/>
        <w:jc w:val="center"/>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二、本项目的特定资格要求</w:t>
      </w:r>
    </w:p>
    <w:p w14:paraId="58731533">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（根据交易公告本项目的特定资格要求提供相应的材料；未要求的，无需提供）</w:t>
      </w:r>
    </w:p>
    <w:p w14:paraId="3037E089">
      <w:pPr>
        <w:spacing w:line="360" w:lineRule="auto"/>
        <w:jc w:val="center"/>
        <w:rPr>
          <w:rFonts w:ascii="仿宋" w:hAnsi="仿宋" w:eastAsia="仿宋" w:cs="仿宋"/>
          <w:color w:val="auto"/>
          <w:kern w:val="0"/>
          <w:sz w:val="24"/>
          <w:highlight w:val="none"/>
          <w:lang w:val="zh-CN"/>
        </w:rPr>
      </w:pPr>
    </w:p>
    <w:p w14:paraId="4D90BB11">
      <w:pPr>
        <w:widowControl/>
        <w:spacing w:line="360" w:lineRule="auto"/>
        <w:ind w:left="150"/>
        <w:jc w:val="center"/>
        <w:rPr>
          <w:rFonts w:ascii="仿宋" w:hAnsi="仿宋" w:eastAsia="仿宋" w:cs="仿宋"/>
          <w:b/>
          <w:color w:val="auto"/>
          <w:kern w:val="0"/>
          <w:sz w:val="32"/>
          <w:szCs w:val="32"/>
          <w:highlight w:val="none"/>
        </w:rPr>
      </w:pPr>
    </w:p>
    <w:p w14:paraId="0E0771AF">
      <w:pPr>
        <w:rPr>
          <w:rFonts w:ascii="仿宋" w:hAnsi="仿宋" w:eastAsia="仿宋" w:cs="仿宋"/>
          <w:color w:val="auto"/>
          <w:highlight w:val="none"/>
        </w:rPr>
      </w:pPr>
    </w:p>
    <w:p w14:paraId="09AB7BE0">
      <w:pPr>
        <w:snapToGrid w:val="0"/>
        <w:spacing w:line="360" w:lineRule="auto"/>
        <w:ind w:right="480"/>
        <w:jc w:val="center"/>
        <w:rPr>
          <w:rFonts w:ascii="仿宋" w:hAnsi="仿宋" w:eastAsia="仿宋" w:cs="仿宋"/>
          <w:b/>
          <w:color w:val="auto"/>
          <w:kern w:val="0"/>
          <w:sz w:val="32"/>
          <w:szCs w:val="32"/>
          <w:highlight w:val="none"/>
        </w:rPr>
      </w:pPr>
    </w:p>
    <w:p w14:paraId="20D1FC30">
      <w:pPr>
        <w:snapToGrid w:val="0"/>
        <w:spacing w:line="360" w:lineRule="auto"/>
        <w:ind w:right="480"/>
        <w:jc w:val="center"/>
        <w:rPr>
          <w:rFonts w:ascii="仿宋" w:hAnsi="仿宋" w:eastAsia="仿宋" w:cs="仿宋"/>
          <w:b/>
          <w:color w:val="auto"/>
          <w:kern w:val="0"/>
          <w:sz w:val="32"/>
          <w:szCs w:val="32"/>
          <w:highlight w:val="none"/>
        </w:rPr>
      </w:pPr>
    </w:p>
    <w:p w14:paraId="1CCBB016">
      <w:pPr>
        <w:snapToGrid w:val="0"/>
        <w:spacing w:line="360" w:lineRule="auto"/>
        <w:ind w:right="480"/>
        <w:jc w:val="center"/>
        <w:rPr>
          <w:rFonts w:ascii="仿宋" w:hAnsi="仿宋" w:eastAsia="仿宋" w:cs="仿宋"/>
          <w:b/>
          <w:color w:val="auto"/>
          <w:kern w:val="0"/>
          <w:sz w:val="32"/>
          <w:szCs w:val="32"/>
          <w:highlight w:val="none"/>
        </w:rPr>
      </w:pPr>
    </w:p>
    <w:p w14:paraId="1410D602">
      <w:pPr>
        <w:snapToGrid w:val="0"/>
        <w:spacing w:line="360" w:lineRule="auto"/>
        <w:ind w:right="480"/>
        <w:jc w:val="center"/>
        <w:rPr>
          <w:rFonts w:ascii="仿宋" w:hAnsi="仿宋" w:eastAsia="仿宋" w:cs="仿宋"/>
          <w:b/>
          <w:color w:val="auto"/>
          <w:kern w:val="0"/>
          <w:sz w:val="32"/>
          <w:szCs w:val="32"/>
          <w:highlight w:val="none"/>
        </w:rPr>
      </w:pPr>
    </w:p>
    <w:p w14:paraId="265AC7AC">
      <w:pPr>
        <w:snapToGrid w:val="0"/>
        <w:spacing w:line="360" w:lineRule="auto"/>
        <w:ind w:right="480"/>
        <w:jc w:val="center"/>
        <w:rPr>
          <w:rFonts w:ascii="仿宋" w:hAnsi="仿宋" w:eastAsia="仿宋" w:cs="仿宋"/>
          <w:b/>
          <w:color w:val="auto"/>
          <w:kern w:val="0"/>
          <w:sz w:val="32"/>
          <w:szCs w:val="32"/>
          <w:highlight w:val="none"/>
        </w:rPr>
      </w:pPr>
    </w:p>
    <w:p w14:paraId="31132271">
      <w:pPr>
        <w:snapToGrid w:val="0"/>
        <w:spacing w:line="360" w:lineRule="auto"/>
        <w:ind w:right="480"/>
        <w:jc w:val="center"/>
        <w:rPr>
          <w:rFonts w:ascii="仿宋" w:hAnsi="仿宋" w:eastAsia="仿宋" w:cs="仿宋"/>
          <w:b/>
          <w:color w:val="auto"/>
          <w:kern w:val="0"/>
          <w:sz w:val="32"/>
          <w:szCs w:val="32"/>
          <w:highlight w:val="none"/>
        </w:rPr>
      </w:pPr>
    </w:p>
    <w:p w14:paraId="38F33E6E">
      <w:pPr>
        <w:spacing w:line="360" w:lineRule="auto"/>
        <w:jc w:val="center"/>
        <w:outlineLvl w:val="0"/>
        <w:rPr>
          <w:rFonts w:ascii="仿宋" w:hAnsi="仿宋" w:eastAsia="仿宋" w:cs="仿宋"/>
          <w:b/>
          <w:color w:val="auto"/>
          <w:kern w:val="0"/>
          <w:sz w:val="36"/>
          <w:szCs w:val="36"/>
          <w:highlight w:val="none"/>
        </w:rPr>
      </w:pPr>
    </w:p>
    <w:p w14:paraId="4A2936E8">
      <w:pPr>
        <w:snapToGrid w:val="0"/>
        <w:spacing w:line="360" w:lineRule="auto"/>
        <w:ind w:right="480"/>
        <w:jc w:val="center"/>
        <w:rPr>
          <w:rFonts w:ascii="仿宋" w:hAnsi="仿宋" w:eastAsia="仿宋" w:cs="仿宋"/>
          <w:b/>
          <w:color w:val="auto"/>
          <w:kern w:val="0"/>
          <w:sz w:val="32"/>
          <w:szCs w:val="32"/>
          <w:highlight w:val="none"/>
        </w:rPr>
      </w:pPr>
    </w:p>
    <w:p w14:paraId="0588EB6B">
      <w:pPr>
        <w:spacing w:line="360" w:lineRule="auto"/>
        <w:jc w:val="center"/>
        <w:outlineLvl w:val="0"/>
        <w:rPr>
          <w:rFonts w:ascii="仿宋" w:hAnsi="仿宋" w:eastAsia="仿宋" w:cs="仿宋"/>
          <w:b/>
          <w:color w:val="auto"/>
          <w:kern w:val="0"/>
          <w:sz w:val="36"/>
          <w:szCs w:val="36"/>
          <w:highlight w:val="none"/>
        </w:rPr>
      </w:pPr>
    </w:p>
    <w:p w14:paraId="747D9769">
      <w:pPr>
        <w:snapToGrid w:val="0"/>
        <w:spacing w:line="360" w:lineRule="auto"/>
        <w:ind w:right="480"/>
        <w:jc w:val="center"/>
        <w:rPr>
          <w:rFonts w:ascii="仿宋" w:hAnsi="仿宋" w:eastAsia="仿宋" w:cs="仿宋"/>
          <w:b/>
          <w:color w:val="auto"/>
          <w:kern w:val="0"/>
          <w:sz w:val="32"/>
          <w:szCs w:val="32"/>
          <w:highlight w:val="none"/>
        </w:rPr>
      </w:pPr>
    </w:p>
    <w:p w14:paraId="387E30D4">
      <w:pPr>
        <w:spacing w:line="360" w:lineRule="auto"/>
        <w:jc w:val="center"/>
        <w:outlineLvl w:val="0"/>
        <w:rPr>
          <w:rFonts w:ascii="仿宋" w:hAnsi="仿宋" w:eastAsia="仿宋" w:cs="仿宋"/>
          <w:b/>
          <w:color w:val="auto"/>
          <w:kern w:val="0"/>
          <w:sz w:val="36"/>
          <w:szCs w:val="36"/>
          <w:highlight w:val="none"/>
        </w:rPr>
      </w:pPr>
    </w:p>
    <w:p w14:paraId="6E6C1A23">
      <w:pPr>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br w:type="page"/>
      </w:r>
    </w:p>
    <w:p w14:paraId="6C19BBA8">
      <w:pPr>
        <w:spacing w:line="360" w:lineRule="auto"/>
        <w:ind w:right="420" w:firstLine="3614" w:firstLineChars="1000"/>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商务技术文件部分</w:t>
      </w:r>
    </w:p>
    <w:p w14:paraId="69AC1AD6">
      <w:pPr>
        <w:spacing w:line="360" w:lineRule="auto"/>
        <w:jc w:val="center"/>
        <w:outlineLvl w:val="0"/>
        <w:rPr>
          <w:rFonts w:ascii="仿宋" w:hAnsi="仿宋" w:eastAsia="仿宋" w:cs="仿宋"/>
          <w:b/>
          <w:color w:val="auto"/>
          <w:kern w:val="0"/>
          <w:sz w:val="24"/>
          <w:highlight w:val="none"/>
        </w:rPr>
      </w:pPr>
    </w:p>
    <w:p w14:paraId="1C7C2E24">
      <w:pPr>
        <w:spacing w:line="360" w:lineRule="auto"/>
        <w:jc w:val="center"/>
        <w:outlineLvl w:val="0"/>
        <w:rPr>
          <w:rFonts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目录</w:t>
      </w:r>
    </w:p>
    <w:p w14:paraId="1C640D4E">
      <w:pPr>
        <w:snapToGrid w:val="0"/>
        <w:spacing w:line="360" w:lineRule="auto"/>
        <w:ind w:left="479" w:leftChars="228"/>
        <w:rPr>
          <w:rFonts w:ascii="仿宋" w:hAnsi="仿宋" w:eastAsia="仿宋" w:cs="仿宋"/>
          <w:color w:val="auto"/>
          <w:highlight w:val="none"/>
        </w:rPr>
      </w:pPr>
      <w:r>
        <w:rPr>
          <w:rFonts w:hint="eastAsia" w:ascii="仿宋" w:hAnsi="仿宋" w:eastAsia="仿宋" w:cs="仿宋"/>
          <w:color w:val="auto"/>
          <w:sz w:val="24"/>
          <w:highlight w:val="none"/>
        </w:rPr>
        <w:t>（1）交易函</w:t>
      </w:r>
      <w:r>
        <w:rPr>
          <w:rFonts w:hint="eastAsia" w:ascii="仿宋" w:hAnsi="仿宋" w:eastAsia="仿宋" w:cs="仿宋"/>
          <w:color w:val="auto"/>
          <w:highlight w:val="none"/>
        </w:rPr>
        <w:t>…………………………………………………………………………………（页码）</w:t>
      </w:r>
      <w:r>
        <w:rPr>
          <w:rFonts w:hint="eastAsia" w:ascii="仿宋" w:hAnsi="仿宋" w:eastAsia="仿宋" w:cs="仿宋"/>
          <w:color w:val="auto"/>
          <w:sz w:val="24"/>
          <w:highlight w:val="none"/>
        </w:rPr>
        <w:t>（2）授权委托书或法定代表人（单位负责人、自然人本人）身份证明</w:t>
      </w:r>
      <w:r>
        <w:rPr>
          <w:rFonts w:hint="eastAsia" w:ascii="仿宋" w:hAnsi="仿宋" w:eastAsia="仿宋" w:cs="仿宋"/>
          <w:color w:val="auto"/>
          <w:highlight w:val="none"/>
        </w:rPr>
        <w:t>………（页码）</w:t>
      </w:r>
    </w:p>
    <w:p w14:paraId="7D728B5C">
      <w:pPr>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sz w:val="24"/>
          <w:highlight w:val="none"/>
        </w:rPr>
        <w:t>（3）符合性审查资料</w:t>
      </w:r>
      <w:r>
        <w:rPr>
          <w:rFonts w:hint="eastAsia" w:ascii="仿宋" w:hAnsi="仿宋" w:eastAsia="仿宋" w:cs="仿宋"/>
          <w:color w:val="auto"/>
          <w:highlight w:val="none"/>
        </w:rPr>
        <w:t>………………………………………………………………………（页码）</w:t>
      </w:r>
    </w:p>
    <w:p w14:paraId="6A927D7C">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（4）评标标准相应的商务技术资料</w:t>
      </w:r>
      <w:r>
        <w:rPr>
          <w:rFonts w:hint="eastAsia" w:ascii="仿宋" w:hAnsi="仿宋" w:eastAsia="仿宋" w:cs="仿宋"/>
          <w:color w:val="auto"/>
          <w:highlight w:val="none"/>
        </w:rPr>
        <w:t>…………………………</w:t>
      </w:r>
      <w:r>
        <w:rPr>
          <w:rFonts w:hint="eastAsia" w:ascii="仿宋" w:hAnsi="仿宋" w:eastAsia="仿宋" w:cs="仿宋"/>
          <w:color w:val="auto"/>
          <w:sz w:val="24"/>
          <w:highlight w:val="none"/>
        </w:rPr>
        <w:t>………</w:t>
      </w:r>
      <w:r>
        <w:rPr>
          <w:rFonts w:hint="eastAsia" w:ascii="仿宋" w:hAnsi="仿宋" w:eastAsia="仿宋" w:cs="仿宋"/>
          <w:color w:val="auto"/>
          <w:highlight w:val="none"/>
        </w:rPr>
        <w:t>…</w:t>
      </w:r>
      <w:r>
        <w:rPr>
          <w:rFonts w:hint="eastAsia" w:ascii="仿宋" w:hAnsi="仿宋" w:eastAsia="仿宋" w:cs="仿宋"/>
          <w:color w:val="auto"/>
          <w:sz w:val="24"/>
          <w:highlight w:val="none"/>
        </w:rPr>
        <w:t>…</w:t>
      </w:r>
      <w:r>
        <w:rPr>
          <w:rFonts w:hint="eastAsia" w:ascii="仿宋" w:hAnsi="仿宋" w:eastAsia="仿宋" w:cs="仿宋"/>
          <w:color w:val="auto"/>
          <w:highlight w:val="none"/>
        </w:rPr>
        <w:t>……………（页码）</w:t>
      </w:r>
    </w:p>
    <w:p w14:paraId="5EF157C8">
      <w:pPr>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sz w:val="24"/>
          <w:highlight w:val="none"/>
        </w:rPr>
        <w:t>（5）响应标的清单</w:t>
      </w:r>
      <w:r>
        <w:rPr>
          <w:rFonts w:hint="eastAsia" w:ascii="仿宋" w:hAnsi="仿宋" w:eastAsia="仿宋" w:cs="仿宋"/>
          <w:color w:val="auto"/>
          <w:highlight w:val="none"/>
        </w:rPr>
        <w:t>…………………………</w:t>
      </w:r>
      <w:r>
        <w:rPr>
          <w:rFonts w:hint="eastAsia" w:ascii="仿宋" w:hAnsi="仿宋" w:eastAsia="仿宋" w:cs="仿宋"/>
          <w:color w:val="auto"/>
          <w:sz w:val="24"/>
          <w:highlight w:val="none"/>
        </w:rPr>
        <w:t>………</w:t>
      </w:r>
      <w:r>
        <w:rPr>
          <w:rFonts w:hint="eastAsia" w:ascii="仿宋" w:hAnsi="仿宋" w:eastAsia="仿宋" w:cs="仿宋"/>
          <w:color w:val="auto"/>
          <w:highlight w:val="none"/>
        </w:rPr>
        <w:t>…</w:t>
      </w:r>
      <w:r>
        <w:rPr>
          <w:rFonts w:hint="eastAsia" w:ascii="仿宋" w:hAnsi="仿宋" w:eastAsia="仿宋" w:cs="仿宋"/>
          <w:color w:val="auto"/>
          <w:sz w:val="24"/>
          <w:highlight w:val="none"/>
        </w:rPr>
        <w:t>…</w:t>
      </w:r>
      <w:r>
        <w:rPr>
          <w:rFonts w:hint="eastAsia" w:ascii="仿宋" w:hAnsi="仿宋" w:eastAsia="仿宋" w:cs="仿宋"/>
          <w:color w:val="auto"/>
          <w:highlight w:val="none"/>
        </w:rPr>
        <w:t>…</w:t>
      </w:r>
      <w:r>
        <w:rPr>
          <w:rFonts w:hint="eastAsia" w:ascii="仿宋" w:hAnsi="仿宋" w:eastAsia="仿宋" w:cs="仿宋"/>
          <w:color w:val="auto"/>
          <w:sz w:val="24"/>
          <w:highlight w:val="none"/>
        </w:rPr>
        <w:t>…</w:t>
      </w:r>
      <w:r>
        <w:rPr>
          <w:rFonts w:hint="eastAsia" w:ascii="仿宋" w:hAnsi="仿宋" w:eastAsia="仿宋" w:cs="仿宋"/>
          <w:color w:val="auto"/>
          <w:highlight w:val="none"/>
        </w:rPr>
        <w:t>…</w:t>
      </w:r>
      <w:r>
        <w:rPr>
          <w:rFonts w:hint="eastAsia" w:ascii="仿宋" w:hAnsi="仿宋" w:eastAsia="仿宋" w:cs="仿宋"/>
          <w:color w:val="auto"/>
          <w:sz w:val="24"/>
          <w:highlight w:val="none"/>
        </w:rPr>
        <w:t>…</w:t>
      </w:r>
      <w:r>
        <w:rPr>
          <w:rFonts w:hint="eastAsia" w:ascii="仿宋" w:hAnsi="仿宋" w:eastAsia="仿宋" w:cs="仿宋"/>
          <w:color w:val="auto"/>
          <w:highlight w:val="none"/>
        </w:rPr>
        <w:t>…</w:t>
      </w:r>
      <w:r>
        <w:rPr>
          <w:rFonts w:hint="eastAsia" w:ascii="仿宋" w:hAnsi="仿宋" w:eastAsia="仿宋" w:cs="仿宋"/>
          <w:color w:val="auto"/>
          <w:sz w:val="24"/>
          <w:highlight w:val="none"/>
        </w:rPr>
        <w:t>…</w:t>
      </w:r>
      <w:r>
        <w:rPr>
          <w:rFonts w:hint="eastAsia" w:ascii="仿宋" w:hAnsi="仿宋" w:eastAsia="仿宋" w:cs="仿宋"/>
          <w:color w:val="auto"/>
          <w:highlight w:val="none"/>
        </w:rPr>
        <w:t>……………（页码）</w:t>
      </w:r>
    </w:p>
    <w:p w14:paraId="1D34E6E0">
      <w:pPr>
        <w:snapToGrid w:val="0"/>
        <w:spacing w:line="360" w:lineRule="auto"/>
        <w:ind w:left="479" w:leftChars="228"/>
        <w:rPr>
          <w:rFonts w:ascii="仿宋" w:hAnsi="仿宋" w:eastAsia="仿宋" w:cs="仿宋"/>
          <w:color w:val="auto"/>
          <w:sz w:val="24"/>
          <w:highlight w:val="none"/>
        </w:rPr>
      </w:pPr>
      <w:r>
        <w:rPr>
          <w:rFonts w:hint="eastAsia" w:ascii="仿宋" w:hAnsi="仿宋" w:eastAsia="仿宋" w:cs="仿宋"/>
          <w:color w:val="auto"/>
          <w:sz w:val="24"/>
          <w:highlight w:val="none"/>
        </w:rPr>
        <w:t>（6）商务技术偏离表</w:t>
      </w:r>
      <w:r>
        <w:rPr>
          <w:rFonts w:hint="eastAsia" w:ascii="仿宋" w:hAnsi="仿宋" w:eastAsia="仿宋" w:cs="仿宋"/>
          <w:color w:val="auto"/>
          <w:highlight w:val="none"/>
        </w:rPr>
        <w:t>………………………………………………………………………（页码）</w:t>
      </w:r>
    </w:p>
    <w:p w14:paraId="71643229">
      <w:pPr>
        <w:snapToGrid w:val="0"/>
        <w:spacing w:line="360" w:lineRule="auto"/>
        <w:ind w:left="479" w:leftChars="228"/>
        <w:rPr>
          <w:rFonts w:ascii="仿宋" w:hAnsi="仿宋" w:eastAsia="仿宋" w:cs="仿宋"/>
          <w:color w:val="auto"/>
          <w:sz w:val="24"/>
          <w:highlight w:val="none"/>
        </w:rPr>
      </w:pPr>
      <w:r>
        <w:rPr>
          <w:rFonts w:hint="eastAsia" w:ascii="仿宋" w:hAnsi="仿宋" w:eastAsia="仿宋" w:cs="仿宋"/>
          <w:color w:val="auto"/>
          <w:sz w:val="24"/>
          <w:highlight w:val="none"/>
        </w:rPr>
        <w:t>（7）</w:t>
      </w:r>
      <w:r>
        <w:rPr>
          <w:rFonts w:hint="eastAsia" w:ascii="仿宋" w:hAnsi="仿宋" w:eastAsia="仿宋" w:cs="仿宋"/>
          <w:color w:val="auto"/>
          <w:sz w:val="24"/>
          <w:highlight w:val="none"/>
          <w:lang w:val="zh-CN"/>
        </w:rPr>
        <w:t>采购供应商廉洁自律承诺书</w:t>
      </w:r>
      <w:r>
        <w:rPr>
          <w:rFonts w:hint="eastAsia" w:ascii="仿宋" w:hAnsi="仿宋" w:eastAsia="仿宋" w:cs="仿宋"/>
          <w:color w:val="auto"/>
          <w:highlight w:val="none"/>
        </w:rPr>
        <w:t>…………………………………………………（页码）</w:t>
      </w:r>
    </w:p>
    <w:p w14:paraId="47246331">
      <w:pPr>
        <w:snapToGrid w:val="0"/>
        <w:spacing w:line="360" w:lineRule="auto"/>
        <w:jc w:val="center"/>
        <w:rPr>
          <w:rFonts w:ascii="仿宋" w:hAnsi="仿宋" w:eastAsia="仿宋" w:cs="仿宋"/>
          <w:b/>
          <w:color w:val="auto"/>
          <w:kern w:val="0"/>
          <w:sz w:val="32"/>
          <w:szCs w:val="32"/>
          <w:highlight w:val="none"/>
          <w:lang w:val="zh-CN"/>
        </w:rPr>
      </w:pPr>
    </w:p>
    <w:p w14:paraId="04B35442">
      <w:pPr>
        <w:snapToGrid w:val="0"/>
        <w:spacing w:line="360" w:lineRule="auto"/>
        <w:jc w:val="center"/>
        <w:rPr>
          <w:rFonts w:ascii="仿宋" w:hAnsi="仿宋" w:eastAsia="仿宋" w:cs="仿宋"/>
          <w:b/>
          <w:color w:val="auto"/>
          <w:kern w:val="0"/>
          <w:sz w:val="32"/>
          <w:szCs w:val="32"/>
          <w:highlight w:val="none"/>
          <w:lang w:val="zh-CN"/>
        </w:rPr>
      </w:pPr>
    </w:p>
    <w:p w14:paraId="3EFD5B1C">
      <w:pPr>
        <w:snapToGrid w:val="0"/>
        <w:spacing w:line="360" w:lineRule="auto"/>
        <w:jc w:val="center"/>
        <w:rPr>
          <w:rFonts w:ascii="仿宋" w:hAnsi="仿宋" w:eastAsia="仿宋" w:cs="仿宋"/>
          <w:b/>
          <w:color w:val="auto"/>
          <w:kern w:val="0"/>
          <w:sz w:val="32"/>
          <w:szCs w:val="32"/>
          <w:highlight w:val="none"/>
          <w:lang w:val="zh-CN"/>
        </w:rPr>
      </w:pPr>
    </w:p>
    <w:p w14:paraId="07F33209">
      <w:pPr>
        <w:snapToGrid w:val="0"/>
        <w:spacing w:line="360" w:lineRule="auto"/>
        <w:jc w:val="center"/>
        <w:rPr>
          <w:rFonts w:ascii="仿宋" w:hAnsi="仿宋" w:eastAsia="仿宋" w:cs="仿宋"/>
          <w:b/>
          <w:color w:val="auto"/>
          <w:kern w:val="0"/>
          <w:sz w:val="32"/>
          <w:szCs w:val="32"/>
          <w:highlight w:val="none"/>
          <w:lang w:val="zh-CN"/>
        </w:rPr>
      </w:pPr>
    </w:p>
    <w:p w14:paraId="2CAA9053">
      <w:pPr>
        <w:snapToGrid w:val="0"/>
        <w:spacing w:line="360" w:lineRule="auto"/>
        <w:jc w:val="center"/>
        <w:rPr>
          <w:rFonts w:ascii="仿宋" w:hAnsi="仿宋" w:eastAsia="仿宋" w:cs="仿宋"/>
          <w:b/>
          <w:color w:val="auto"/>
          <w:kern w:val="0"/>
          <w:sz w:val="32"/>
          <w:szCs w:val="32"/>
          <w:highlight w:val="none"/>
          <w:lang w:val="zh-CN"/>
        </w:rPr>
      </w:pPr>
    </w:p>
    <w:p w14:paraId="64B27E61">
      <w:pPr>
        <w:snapToGrid w:val="0"/>
        <w:spacing w:line="360" w:lineRule="auto"/>
        <w:jc w:val="center"/>
        <w:outlineLvl w:val="0"/>
        <w:rPr>
          <w:rFonts w:ascii="仿宋" w:hAnsi="仿宋" w:eastAsia="仿宋" w:cs="仿宋"/>
          <w:b/>
          <w:color w:val="auto"/>
          <w:kern w:val="0"/>
          <w:sz w:val="32"/>
          <w:szCs w:val="32"/>
          <w:highlight w:val="none"/>
        </w:rPr>
      </w:pPr>
    </w:p>
    <w:p w14:paraId="5274F612">
      <w:pPr>
        <w:snapToGrid w:val="0"/>
        <w:spacing w:line="360" w:lineRule="auto"/>
        <w:jc w:val="center"/>
        <w:outlineLvl w:val="0"/>
        <w:rPr>
          <w:rFonts w:ascii="仿宋" w:hAnsi="仿宋" w:eastAsia="仿宋" w:cs="仿宋"/>
          <w:b/>
          <w:color w:val="auto"/>
          <w:kern w:val="0"/>
          <w:sz w:val="32"/>
          <w:szCs w:val="32"/>
          <w:highlight w:val="none"/>
        </w:rPr>
      </w:pPr>
    </w:p>
    <w:p w14:paraId="0DB7BC31">
      <w:pPr>
        <w:rPr>
          <w:rFonts w:ascii="仿宋" w:hAnsi="仿宋" w:eastAsia="仿宋" w:cs="仿宋"/>
          <w:color w:val="auto"/>
          <w:highlight w:val="none"/>
        </w:rPr>
      </w:pPr>
    </w:p>
    <w:p w14:paraId="50CDE09C">
      <w:pPr>
        <w:snapToGrid w:val="0"/>
        <w:spacing w:line="360" w:lineRule="auto"/>
        <w:outlineLvl w:val="0"/>
        <w:rPr>
          <w:rFonts w:ascii="仿宋" w:hAnsi="仿宋" w:eastAsia="仿宋" w:cs="仿宋"/>
          <w:b/>
          <w:color w:val="auto"/>
          <w:kern w:val="0"/>
          <w:sz w:val="32"/>
          <w:szCs w:val="32"/>
          <w:highlight w:val="none"/>
        </w:rPr>
      </w:pPr>
    </w:p>
    <w:p w14:paraId="65F2744B">
      <w:pPr>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br w:type="page"/>
      </w:r>
    </w:p>
    <w:p w14:paraId="20D083CD">
      <w:pPr>
        <w:snapToGrid w:val="0"/>
        <w:spacing w:line="360" w:lineRule="auto"/>
        <w:jc w:val="center"/>
        <w:outlineLvl w:val="0"/>
        <w:rPr>
          <w:rFonts w:ascii="仿宋" w:hAnsi="仿宋" w:eastAsia="仿宋" w:cs="仿宋"/>
          <w:b/>
          <w:color w:val="auto"/>
          <w:sz w:val="32"/>
          <w:szCs w:val="32"/>
          <w:highlight w:val="none"/>
        </w:rPr>
      </w:pPr>
      <w:r>
        <w:rPr>
          <w:rFonts w:hint="eastAsia" w:ascii="仿宋" w:hAnsi="仿宋" w:eastAsia="仿宋" w:cs="仿宋"/>
          <w:b/>
          <w:color w:val="auto"/>
          <w:kern w:val="0"/>
          <w:sz w:val="32"/>
          <w:szCs w:val="32"/>
          <w:highlight w:val="none"/>
        </w:rPr>
        <w:t>一、交易函</w:t>
      </w:r>
    </w:p>
    <w:p w14:paraId="53FFD481">
      <w:pPr>
        <w:snapToGrid w:val="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（交易发起人）、（采购代理机构）：</w:t>
      </w:r>
    </w:p>
    <w:p w14:paraId="7D8E8D88">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我方参加你方组织的</w:t>
      </w:r>
      <w:r>
        <w:rPr>
          <w:rFonts w:hint="eastAsia" w:ascii="仿宋" w:hAnsi="仿宋" w:eastAsia="仿宋" w:cs="仿宋"/>
          <w:color w:val="auto"/>
          <w:sz w:val="24"/>
          <w:highlight w:val="none"/>
          <w:u w:val="single"/>
        </w:rPr>
        <w:t>（项目名称）【交易编号：】</w:t>
      </w:r>
      <w:r>
        <w:rPr>
          <w:rFonts w:hint="eastAsia" w:ascii="仿宋" w:hAnsi="仿宋" w:eastAsia="仿宋" w:cs="仿宋"/>
          <w:color w:val="auto"/>
          <w:sz w:val="24"/>
          <w:highlight w:val="none"/>
        </w:rPr>
        <w:t>招标的有关活动，并对此项目进行投标。为此：</w:t>
      </w:r>
    </w:p>
    <w:p w14:paraId="3EA698D9">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1、我方承诺交易有效期从提交响应文件的截止之日起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天（不少于90天）</w:t>
      </w:r>
      <w:r>
        <w:rPr>
          <w:rFonts w:hint="eastAsia" w:ascii="仿宋" w:hAnsi="仿宋" w:eastAsia="仿宋" w:cs="仿宋"/>
          <w:color w:val="auto"/>
          <w:highlight w:val="none"/>
        </w:rPr>
        <w:t>，</w:t>
      </w:r>
      <w:r>
        <w:rPr>
          <w:rFonts w:hint="eastAsia" w:ascii="仿宋" w:hAnsi="仿宋" w:eastAsia="仿宋" w:cs="仿宋"/>
          <w:color w:val="auto"/>
          <w:sz w:val="24"/>
          <w:highlight w:val="none"/>
        </w:rPr>
        <w:t>本响应文件在交易有效期满之前均具有约束力。</w:t>
      </w:r>
    </w:p>
    <w:p w14:paraId="237D221D">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2、我方的响应文件包括以下内容：</w:t>
      </w:r>
    </w:p>
    <w:p w14:paraId="013EC29A">
      <w:pPr>
        <w:snapToGrid w:val="0"/>
        <w:spacing w:line="440" w:lineRule="exact"/>
        <w:ind w:left="210" w:leftChars="1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2.1资格文件：</w:t>
      </w:r>
    </w:p>
    <w:p w14:paraId="77BCE3C7">
      <w:pPr>
        <w:snapToGrid w:val="0"/>
        <w:spacing w:line="440" w:lineRule="exact"/>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2.1.1承诺函；</w:t>
      </w:r>
    </w:p>
    <w:p w14:paraId="25C9F31D">
      <w:pPr>
        <w:snapToGrid w:val="0"/>
        <w:spacing w:line="440" w:lineRule="exact"/>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2.1.2本项目的特定资格要求（如果有）。</w:t>
      </w:r>
    </w:p>
    <w:p w14:paraId="12D1511C">
      <w:pPr>
        <w:snapToGrid w:val="0"/>
        <w:spacing w:line="440" w:lineRule="exact"/>
        <w:ind w:left="210" w:leftChars="100"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商务技术</w:t>
      </w:r>
      <w:r>
        <w:rPr>
          <w:rFonts w:hint="eastAsia" w:ascii="仿宋" w:hAnsi="仿宋" w:eastAsia="仿宋" w:cs="仿宋"/>
          <w:color w:val="auto"/>
          <w:sz w:val="24"/>
          <w:highlight w:val="none"/>
          <w:lang w:val="zh-CN"/>
        </w:rPr>
        <w:t>文件：</w:t>
      </w:r>
    </w:p>
    <w:p w14:paraId="108714C8">
      <w:pPr>
        <w:snapToGrid w:val="0"/>
        <w:spacing w:line="440" w:lineRule="exact"/>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2.2.1交易函；</w:t>
      </w:r>
      <w:r>
        <w:rPr>
          <w:rFonts w:hint="eastAsia" w:ascii="仿宋" w:hAnsi="仿宋" w:eastAsia="仿宋" w:cs="仿宋"/>
          <w:color w:val="auto"/>
          <w:sz w:val="24"/>
          <w:highlight w:val="none"/>
          <w:lang w:val="zh-CN"/>
        </w:rPr>
        <w:t xml:space="preserve"> </w:t>
      </w:r>
    </w:p>
    <w:p w14:paraId="2E4DD71F">
      <w:pPr>
        <w:snapToGrid w:val="0"/>
        <w:spacing w:line="440" w:lineRule="exact"/>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2.2.2授权委托书或法定代表人（单位负责人）身份证明；</w:t>
      </w:r>
    </w:p>
    <w:p w14:paraId="45EC947B">
      <w:pPr>
        <w:snapToGrid w:val="0"/>
        <w:spacing w:line="440" w:lineRule="exact"/>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2.2.3符合性审查资料；</w:t>
      </w:r>
    </w:p>
    <w:p w14:paraId="5A279E37">
      <w:pPr>
        <w:snapToGrid w:val="0"/>
        <w:spacing w:line="440" w:lineRule="exact"/>
        <w:ind w:left="420" w:leftChars="200" w:firstLine="480" w:firstLineChars="200"/>
        <w:rPr>
          <w:rFonts w:ascii="仿宋" w:hAnsi="仿宋" w:eastAsia="仿宋" w:cs="仿宋"/>
          <w:color w:val="auto"/>
          <w:highlight w:val="none"/>
        </w:rPr>
      </w:pPr>
      <w:r>
        <w:rPr>
          <w:rFonts w:hint="eastAsia" w:ascii="仿宋" w:hAnsi="仿宋" w:eastAsia="仿宋" w:cs="仿宋"/>
          <w:color w:val="auto"/>
          <w:sz w:val="24"/>
          <w:highlight w:val="none"/>
        </w:rPr>
        <w:t>2.2.4评标标准相应的商务技术资料；</w:t>
      </w:r>
    </w:p>
    <w:p w14:paraId="4E15498F">
      <w:pPr>
        <w:snapToGrid w:val="0"/>
        <w:spacing w:line="440" w:lineRule="exact"/>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2.2.5响应标的清单；</w:t>
      </w:r>
    </w:p>
    <w:p w14:paraId="2A4E7A1B">
      <w:pPr>
        <w:snapToGrid w:val="0"/>
        <w:spacing w:line="440" w:lineRule="exact"/>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2.2.6商务技术偏离表；</w:t>
      </w:r>
    </w:p>
    <w:p w14:paraId="227B5995">
      <w:pPr>
        <w:snapToGrid w:val="0"/>
        <w:spacing w:line="440" w:lineRule="exact"/>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2.2.7</w:t>
      </w:r>
      <w:r>
        <w:rPr>
          <w:rFonts w:hint="eastAsia" w:ascii="仿宋" w:hAnsi="仿宋" w:eastAsia="仿宋" w:cs="仿宋"/>
          <w:color w:val="auto"/>
          <w:sz w:val="24"/>
          <w:highlight w:val="none"/>
          <w:lang w:val="zh-CN"/>
        </w:rPr>
        <w:t>采购供应商廉洁自律承诺书</w:t>
      </w:r>
    </w:p>
    <w:p w14:paraId="1EF36188">
      <w:pPr>
        <w:snapToGrid w:val="0"/>
        <w:spacing w:line="440" w:lineRule="exact"/>
        <w:ind w:left="210" w:leftChars="1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3报价文件</w:t>
      </w:r>
    </w:p>
    <w:p w14:paraId="0A64D996">
      <w:pPr>
        <w:snapToGrid w:val="0"/>
        <w:spacing w:line="440" w:lineRule="exact"/>
        <w:ind w:left="420" w:leftChars="2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2.3.1交易一览表（报价表）；</w:t>
      </w:r>
    </w:p>
    <w:p w14:paraId="1E5A5248">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3、我方承诺除商务技术偏离表列出的偏离外，我方响应交易文件的全部要求。</w:t>
      </w:r>
    </w:p>
    <w:p w14:paraId="7EDFAE24">
      <w:pPr>
        <w:snapToGrid w:val="0"/>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4、如我方成交，我方承诺：</w:t>
      </w:r>
    </w:p>
    <w:p w14:paraId="3A11ECBD">
      <w:pPr>
        <w:snapToGrid w:val="0"/>
        <w:spacing w:line="440" w:lineRule="exact"/>
        <w:ind w:left="210" w:leftChars="1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4.1在收到成交通知书后，在成交通知书规定的期限内与你方签订合同； </w:t>
      </w:r>
    </w:p>
    <w:p w14:paraId="236C1700">
      <w:pPr>
        <w:snapToGrid w:val="0"/>
        <w:spacing w:line="440" w:lineRule="exact"/>
        <w:ind w:left="210" w:leftChars="1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4.2在签订合同时不向你方提出附加条件； </w:t>
      </w:r>
    </w:p>
    <w:p w14:paraId="543C6587">
      <w:pPr>
        <w:snapToGrid w:val="0"/>
        <w:spacing w:line="440" w:lineRule="exact"/>
        <w:ind w:left="210" w:leftChars="1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4.3按照交易文件要求提交履约保证金； </w:t>
      </w:r>
    </w:p>
    <w:p w14:paraId="6306FEC5">
      <w:pPr>
        <w:snapToGrid w:val="0"/>
        <w:spacing w:line="440" w:lineRule="exact"/>
        <w:ind w:left="210" w:leftChars="1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4.4在合同约定的期限内完成合同规定的全部义务。 </w:t>
      </w:r>
    </w:p>
    <w:p w14:paraId="216D877C">
      <w:pPr>
        <w:snapToGrid w:val="0"/>
        <w:spacing w:line="440" w:lineRule="exact"/>
        <w:ind w:left="210" w:leftChars="10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5、其他补充说明: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4F79BEEA">
      <w:pPr>
        <w:spacing w:line="440" w:lineRule="exact"/>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4C2CE5C4">
      <w:pPr>
        <w:spacing w:line="440" w:lineRule="exact"/>
        <w:jc w:val="center"/>
        <w:rPr>
          <w:rFonts w:ascii="仿宋" w:hAnsi="仿宋" w:eastAsia="仿宋" w:cs="仿宋"/>
          <w:color w:val="auto"/>
          <w:kern w:val="0"/>
          <w:sz w:val="24"/>
          <w:highlight w:val="none"/>
          <w:u w:val="single"/>
        </w:rPr>
      </w:pPr>
      <w:r>
        <w:rPr>
          <w:rFonts w:hint="eastAsia" w:ascii="仿宋" w:hAnsi="仿宋" w:eastAsia="仿宋" w:cs="仿宋"/>
          <w:color w:val="auto"/>
          <w:sz w:val="24"/>
          <w:highlight w:val="none"/>
        </w:rPr>
        <w:t xml:space="preserve">     日期：  年   月   日</w:t>
      </w:r>
    </w:p>
    <w:p w14:paraId="06BFAB04">
      <w:pPr>
        <w:rPr>
          <w:rFonts w:ascii="仿宋" w:hAnsi="仿宋" w:eastAsia="仿宋" w:cs="仿宋"/>
          <w:b/>
          <w:color w:val="auto"/>
          <w:kern w:val="0"/>
          <w:sz w:val="32"/>
          <w:szCs w:val="32"/>
          <w:highlight w:val="none"/>
        </w:rPr>
      </w:pPr>
      <w:r>
        <w:rPr>
          <w:rFonts w:hint="eastAsia" w:ascii="仿宋" w:hAnsi="仿宋" w:eastAsia="仿宋" w:cs="仿宋"/>
          <w:color w:val="auto"/>
          <w:sz w:val="24"/>
          <w:highlight w:val="none"/>
        </w:rPr>
        <w:t>注：按本格式和要求提供。</w:t>
      </w:r>
    </w:p>
    <w:p w14:paraId="1F372D7B">
      <w:pPr>
        <w:jc w:val="center"/>
        <w:rPr>
          <w:rFonts w:ascii="仿宋" w:hAnsi="仿宋" w:eastAsia="仿宋" w:cs="仿宋"/>
          <w:b/>
          <w:color w:val="auto"/>
          <w:kern w:val="0"/>
          <w:sz w:val="32"/>
          <w:szCs w:val="32"/>
          <w:highlight w:val="none"/>
        </w:rPr>
      </w:pPr>
    </w:p>
    <w:p w14:paraId="078F21FA">
      <w:pPr>
        <w:jc w:val="center"/>
        <w:rPr>
          <w:rFonts w:ascii="仿宋" w:hAnsi="仿宋" w:eastAsia="仿宋" w:cs="仿宋"/>
          <w:b/>
          <w:color w:val="auto"/>
          <w:kern w:val="0"/>
          <w:sz w:val="32"/>
          <w:szCs w:val="32"/>
          <w:highlight w:val="none"/>
          <w:lang w:val="zh-CN"/>
        </w:rPr>
      </w:pPr>
      <w:r>
        <w:rPr>
          <w:rFonts w:hint="eastAsia" w:ascii="仿宋" w:hAnsi="仿宋" w:eastAsia="仿宋" w:cs="仿宋"/>
          <w:b/>
          <w:color w:val="auto"/>
          <w:kern w:val="0"/>
          <w:sz w:val="32"/>
          <w:szCs w:val="32"/>
          <w:highlight w:val="none"/>
          <w:lang w:val="zh-CN"/>
        </w:rPr>
        <w:t>二、授权委托书或法定代表人（单位负责人、自然人本人）身份证明</w:t>
      </w:r>
    </w:p>
    <w:p w14:paraId="23F962DF">
      <w:pPr>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251AEB0B">
      <w:pPr>
        <w:snapToGrid w:val="0"/>
        <w:spacing w:line="360" w:lineRule="auto"/>
        <w:ind w:firstLine="2872" w:firstLineChars="894"/>
        <w:rPr>
          <w:rFonts w:ascii="仿宋" w:hAnsi="仿宋" w:eastAsia="仿宋" w:cs="仿宋"/>
          <w:color w:val="auto"/>
          <w:highlight w:val="none"/>
        </w:rPr>
      </w:pPr>
      <w:r>
        <w:rPr>
          <w:rFonts w:hint="eastAsia" w:ascii="仿宋" w:hAnsi="仿宋" w:eastAsia="仿宋" w:cs="仿宋"/>
          <w:b/>
          <w:color w:val="auto"/>
          <w:kern w:val="0"/>
          <w:sz w:val="32"/>
          <w:szCs w:val="32"/>
          <w:highlight w:val="none"/>
          <w:lang w:val="zh-CN"/>
        </w:rPr>
        <w:t>授权委托书</w:t>
      </w:r>
      <w:r>
        <w:rPr>
          <w:rFonts w:hint="eastAsia" w:ascii="仿宋" w:hAnsi="仿宋" w:eastAsia="仿宋" w:cs="仿宋"/>
          <w:color w:val="auto"/>
          <w:highlight w:val="none"/>
        </w:rPr>
        <w:t xml:space="preserve">                               </w:t>
      </w:r>
    </w:p>
    <w:p w14:paraId="44B0855C">
      <w:pPr>
        <w:snapToGrid w:val="0"/>
        <w:spacing w:line="360" w:lineRule="auto"/>
        <w:rPr>
          <w:rFonts w:ascii="仿宋" w:hAnsi="仿宋" w:eastAsia="仿宋" w:cs="仿宋"/>
          <w:color w:val="auto"/>
          <w:kern w:val="0"/>
          <w:sz w:val="24"/>
          <w:highlight w:val="none"/>
        </w:rPr>
      </w:pPr>
      <w:r>
        <w:rPr>
          <w:rFonts w:hint="eastAsia" w:ascii="仿宋" w:hAnsi="仿宋" w:eastAsia="仿宋" w:cs="仿宋"/>
          <w:color w:val="auto"/>
          <w:sz w:val="24"/>
          <w:highlight w:val="none"/>
          <w:u w:val="single"/>
        </w:rPr>
        <w:t>（交易发起人）、（采购代理机构）</w:t>
      </w:r>
      <w:r>
        <w:rPr>
          <w:rFonts w:hint="eastAsia" w:ascii="仿宋" w:hAnsi="仿宋" w:eastAsia="仿宋" w:cs="仿宋"/>
          <w:color w:val="auto"/>
          <w:kern w:val="0"/>
          <w:sz w:val="24"/>
          <w:highlight w:val="none"/>
          <w:lang w:val="zh-CN"/>
        </w:rPr>
        <w:t>：</w:t>
      </w:r>
    </w:p>
    <w:p w14:paraId="5D9C1B75">
      <w:pPr>
        <w:snapToGrid w:val="0"/>
        <w:spacing w:line="360" w:lineRule="auto"/>
        <w:ind w:firstLine="576"/>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现</w:t>
      </w:r>
      <w:r>
        <w:rPr>
          <w:rFonts w:hint="eastAsia" w:ascii="仿宋" w:hAnsi="仿宋" w:eastAsia="仿宋" w:cs="仿宋"/>
          <w:color w:val="auto"/>
          <w:kern w:val="0"/>
          <w:sz w:val="24"/>
          <w:highlight w:val="none"/>
          <w:lang w:val="zh-CN"/>
        </w:rPr>
        <w:t>委托</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（姓名）为我方代理人（身份证号码：</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，手机：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），以我方名义处理</w:t>
      </w:r>
      <w:r>
        <w:rPr>
          <w:rFonts w:hint="eastAsia" w:ascii="仿宋" w:hAnsi="仿宋" w:eastAsia="仿宋" w:cs="仿宋"/>
          <w:color w:val="auto"/>
          <w:sz w:val="24"/>
          <w:highlight w:val="none"/>
          <w:u w:val="single"/>
        </w:rPr>
        <w:t>（项目名称）【交易编号：（采购编号）】</w:t>
      </w:r>
      <w:r>
        <w:rPr>
          <w:rFonts w:hint="eastAsia" w:ascii="仿宋" w:hAnsi="仿宋" w:eastAsia="仿宋" w:cs="仿宋"/>
          <w:color w:val="auto"/>
          <w:kern w:val="0"/>
          <w:sz w:val="24"/>
          <w:highlight w:val="none"/>
          <w:lang w:val="zh-CN"/>
        </w:rPr>
        <w:t>采购投标的一切事项，其法律后果由我方承担。</w:t>
      </w:r>
    </w:p>
    <w:p w14:paraId="27894472">
      <w:pPr>
        <w:snapToGrid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委托期限</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zh-CN"/>
        </w:rPr>
        <w:t>自</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年</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日起至</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年</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日止。</w:t>
      </w:r>
    </w:p>
    <w:p w14:paraId="61E76465">
      <w:pPr>
        <w:snapToGrid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特此告知。</w:t>
      </w:r>
    </w:p>
    <w:p w14:paraId="42240FAA">
      <w:pPr>
        <w:snapToGrid w:val="0"/>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 xml:space="preserve">                                                 供应商名称(电子签名)：</w:t>
      </w:r>
    </w:p>
    <w:p w14:paraId="6A5DF5D4">
      <w:pPr>
        <w:snapToGrid w:val="0"/>
        <w:spacing w:line="360" w:lineRule="auto"/>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签发日期：  年  月   日</w:t>
      </w:r>
    </w:p>
    <w:p w14:paraId="48057E0A">
      <w:pPr>
        <w:snapToGrid w:val="0"/>
        <w:spacing w:line="360" w:lineRule="auto"/>
        <w:rPr>
          <w:rFonts w:ascii="仿宋" w:hAnsi="仿宋" w:eastAsia="仿宋" w:cs="仿宋"/>
          <w:color w:val="auto"/>
          <w:sz w:val="24"/>
          <w:highlight w:val="none"/>
        </w:rPr>
      </w:pPr>
    </w:p>
    <w:p w14:paraId="4AC98B04">
      <w:pPr>
        <w:snapToGrid w:val="0"/>
        <w:spacing w:line="360" w:lineRule="auto"/>
        <w:rPr>
          <w:rFonts w:ascii="仿宋" w:hAnsi="仿宋" w:eastAsia="仿宋" w:cs="仿宋"/>
          <w:color w:val="auto"/>
          <w:kern w:val="0"/>
          <w:sz w:val="24"/>
          <w:highlight w:val="none"/>
          <w:lang w:val="zh-CN"/>
        </w:rPr>
      </w:pPr>
      <w:r>
        <w:rPr>
          <w:rFonts w:hint="eastAsia" w:ascii="仿宋" w:hAnsi="仿宋" w:eastAsia="仿宋" w:cs="仿宋"/>
          <w:b/>
          <w:color w:val="auto"/>
          <w:kern w:val="0"/>
          <w:sz w:val="32"/>
          <w:szCs w:val="32"/>
          <w:highlight w:val="none"/>
          <w:lang w:val="zh-CN"/>
        </w:rPr>
        <w:t xml:space="preserve">    </w:t>
      </w:r>
    </w:p>
    <w:p w14:paraId="6A824212">
      <w:pPr>
        <w:autoSpaceDE w:val="0"/>
        <w:autoSpaceDN w:val="0"/>
        <w:spacing w:line="360" w:lineRule="auto"/>
        <w:jc w:val="center"/>
        <w:rPr>
          <w:rFonts w:ascii="仿宋" w:hAnsi="仿宋" w:eastAsia="仿宋" w:cs="仿宋"/>
          <w:b/>
          <w:color w:val="auto"/>
          <w:kern w:val="0"/>
          <w:sz w:val="32"/>
          <w:szCs w:val="32"/>
          <w:highlight w:val="none"/>
          <w:lang w:val="zh-CN"/>
        </w:rPr>
      </w:pPr>
    </w:p>
    <w:p w14:paraId="7052A0B4">
      <w:pPr>
        <w:autoSpaceDE w:val="0"/>
        <w:autoSpaceDN w:val="0"/>
        <w:spacing w:line="360" w:lineRule="auto"/>
        <w:jc w:val="center"/>
        <w:rPr>
          <w:rFonts w:ascii="仿宋" w:hAnsi="仿宋" w:eastAsia="仿宋" w:cs="仿宋"/>
          <w:b/>
          <w:color w:val="auto"/>
          <w:kern w:val="0"/>
          <w:sz w:val="32"/>
          <w:szCs w:val="32"/>
          <w:highlight w:val="none"/>
          <w:lang w:val="zh-CN"/>
        </w:rPr>
      </w:pPr>
    </w:p>
    <w:p w14:paraId="55204B50">
      <w:pPr>
        <w:autoSpaceDE w:val="0"/>
        <w:autoSpaceDN w:val="0"/>
        <w:spacing w:line="360" w:lineRule="auto"/>
        <w:jc w:val="center"/>
        <w:rPr>
          <w:rFonts w:ascii="仿宋" w:hAnsi="仿宋" w:eastAsia="仿宋" w:cs="仿宋"/>
          <w:b/>
          <w:color w:val="auto"/>
          <w:kern w:val="0"/>
          <w:sz w:val="32"/>
          <w:szCs w:val="32"/>
          <w:highlight w:val="none"/>
          <w:lang w:val="zh-CN"/>
        </w:rPr>
      </w:pPr>
    </w:p>
    <w:p w14:paraId="256F2EAA">
      <w:pPr>
        <w:autoSpaceDE w:val="0"/>
        <w:autoSpaceDN w:val="0"/>
        <w:spacing w:line="360" w:lineRule="auto"/>
        <w:jc w:val="center"/>
        <w:rPr>
          <w:rFonts w:ascii="仿宋" w:hAnsi="仿宋" w:eastAsia="仿宋" w:cs="仿宋"/>
          <w:b/>
          <w:color w:val="auto"/>
          <w:kern w:val="0"/>
          <w:sz w:val="32"/>
          <w:szCs w:val="32"/>
          <w:highlight w:val="none"/>
          <w:lang w:val="zh-CN"/>
        </w:rPr>
      </w:pPr>
    </w:p>
    <w:p w14:paraId="4747BDA8">
      <w:pPr>
        <w:autoSpaceDE w:val="0"/>
        <w:autoSpaceDN w:val="0"/>
        <w:spacing w:line="360" w:lineRule="auto"/>
        <w:jc w:val="center"/>
        <w:rPr>
          <w:rFonts w:ascii="仿宋" w:hAnsi="仿宋" w:eastAsia="仿宋" w:cs="仿宋"/>
          <w:b/>
          <w:color w:val="auto"/>
          <w:kern w:val="0"/>
          <w:sz w:val="32"/>
          <w:szCs w:val="32"/>
          <w:highlight w:val="none"/>
          <w:lang w:val="zh-CN"/>
        </w:rPr>
      </w:pPr>
    </w:p>
    <w:p w14:paraId="2A94F2C3">
      <w:pPr>
        <w:autoSpaceDE w:val="0"/>
        <w:autoSpaceDN w:val="0"/>
        <w:spacing w:line="360" w:lineRule="auto"/>
        <w:jc w:val="center"/>
        <w:rPr>
          <w:rFonts w:ascii="仿宋" w:hAnsi="仿宋" w:eastAsia="仿宋" w:cs="仿宋"/>
          <w:b/>
          <w:color w:val="auto"/>
          <w:kern w:val="0"/>
          <w:sz w:val="32"/>
          <w:szCs w:val="32"/>
          <w:highlight w:val="none"/>
          <w:lang w:val="zh-CN"/>
        </w:rPr>
      </w:pPr>
    </w:p>
    <w:p w14:paraId="30AE3741">
      <w:pPr>
        <w:autoSpaceDE w:val="0"/>
        <w:autoSpaceDN w:val="0"/>
        <w:spacing w:line="360" w:lineRule="auto"/>
        <w:jc w:val="center"/>
        <w:rPr>
          <w:rFonts w:ascii="仿宋" w:hAnsi="仿宋" w:eastAsia="仿宋" w:cs="仿宋"/>
          <w:b/>
          <w:color w:val="auto"/>
          <w:kern w:val="0"/>
          <w:sz w:val="32"/>
          <w:szCs w:val="32"/>
          <w:highlight w:val="none"/>
          <w:lang w:val="zh-CN"/>
        </w:rPr>
      </w:pPr>
    </w:p>
    <w:p w14:paraId="16C072F9">
      <w:pPr>
        <w:autoSpaceDE w:val="0"/>
        <w:autoSpaceDN w:val="0"/>
        <w:spacing w:line="360" w:lineRule="auto"/>
        <w:jc w:val="center"/>
        <w:rPr>
          <w:rFonts w:ascii="仿宋" w:hAnsi="仿宋" w:eastAsia="仿宋" w:cs="仿宋"/>
          <w:b/>
          <w:color w:val="auto"/>
          <w:kern w:val="0"/>
          <w:sz w:val="32"/>
          <w:szCs w:val="32"/>
          <w:highlight w:val="none"/>
          <w:lang w:val="zh-CN"/>
        </w:rPr>
      </w:pPr>
    </w:p>
    <w:p w14:paraId="32B42E0D">
      <w:pPr>
        <w:autoSpaceDE w:val="0"/>
        <w:autoSpaceDN w:val="0"/>
        <w:spacing w:line="360" w:lineRule="auto"/>
        <w:jc w:val="center"/>
        <w:rPr>
          <w:rFonts w:ascii="仿宋" w:hAnsi="仿宋" w:eastAsia="仿宋" w:cs="仿宋"/>
          <w:b/>
          <w:color w:val="auto"/>
          <w:kern w:val="0"/>
          <w:sz w:val="32"/>
          <w:szCs w:val="32"/>
          <w:highlight w:val="none"/>
          <w:lang w:val="zh-CN"/>
        </w:rPr>
      </w:pPr>
    </w:p>
    <w:p w14:paraId="4B418E33">
      <w:pPr>
        <w:autoSpaceDE w:val="0"/>
        <w:autoSpaceDN w:val="0"/>
        <w:spacing w:line="360" w:lineRule="auto"/>
        <w:jc w:val="center"/>
        <w:rPr>
          <w:rFonts w:ascii="仿宋" w:hAnsi="仿宋" w:eastAsia="仿宋" w:cs="仿宋"/>
          <w:b/>
          <w:color w:val="auto"/>
          <w:kern w:val="0"/>
          <w:sz w:val="32"/>
          <w:szCs w:val="32"/>
          <w:highlight w:val="none"/>
          <w:lang w:val="zh-CN"/>
        </w:rPr>
      </w:pPr>
    </w:p>
    <w:p w14:paraId="44A6317F">
      <w:pPr>
        <w:autoSpaceDE w:val="0"/>
        <w:autoSpaceDN w:val="0"/>
        <w:spacing w:line="360" w:lineRule="auto"/>
        <w:jc w:val="center"/>
        <w:rPr>
          <w:rFonts w:ascii="仿宋" w:hAnsi="仿宋" w:eastAsia="仿宋" w:cs="仿宋"/>
          <w:b/>
          <w:color w:val="auto"/>
          <w:kern w:val="0"/>
          <w:sz w:val="32"/>
          <w:szCs w:val="32"/>
          <w:highlight w:val="none"/>
          <w:lang w:val="zh-CN"/>
        </w:rPr>
      </w:pPr>
    </w:p>
    <w:p w14:paraId="749CB58D">
      <w:pPr>
        <w:autoSpaceDE w:val="0"/>
        <w:autoSpaceDN w:val="0"/>
        <w:spacing w:line="360" w:lineRule="auto"/>
        <w:jc w:val="center"/>
        <w:rPr>
          <w:rFonts w:ascii="仿宋" w:hAnsi="仿宋" w:eastAsia="仿宋" w:cs="仿宋"/>
          <w:b/>
          <w:color w:val="auto"/>
          <w:kern w:val="0"/>
          <w:sz w:val="32"/>
          <w:szCs w:val="32"/>
          <w:highlight w:val="none"/>
          <w:lang w:val="zh-CN"/>
        </w:rPr>
      </w:pPr>
    </w:p>
    <w:p w14:paraId="4A6B066F">
      <w:pPr>
        <w:autoSpaceDE w:val="0"/>
        <w:autoSpaceDN w:val="0"/>
        <w:spacing w:line="360" w:lineRule="auto"/>
        <w:jc w:val="center"/>
        <w:rPr>
          <w:rFonts w:ascii="仿宋" w:hAnsi="仿宋" w:eastAsia="仿宋" w:cs="仿宋"/>
          <w:b/>
          <w:color w:val="auto"/>
          <w:sz w:val="24"/>
          <w:highlight w:val="none"/>
        </w:rPr>
      </w:pPr>
      <w:r>
        <w:rPr>
          <w:rFonts w:hint="eastAsia" w:ascii="仿宋" w:hAnsi="仿宋" w:eastAsia="仿宋" w:cs="仿宋"/>
          <w:b/>
          <w:color w:val="auto"/>
          <w:kern w:val="0"/>
          <w:sz w:val="32"/>
          <w:szCs w:val="32"/>
          <w:highlight w:val="none"/>
          <w:lang w:val="zh-CN"/>
        </w:rPr>
        <w:t>法定代表人、单位负责人或自然人本人</w:t>
      </w:r>
      <w:r>
        <w:rPr>
          <w:rFonts w:hint="eastAsia" w:ascii="仿宋" w:hAnsi="仿宋" w:eastAsia="仿宋" w:cs="仿宋"/>
          <w:b/>
          <w:color w:val="auto"/>
          <w:sz w:val="30"/>
          <w:szCs w:val="30"/>
          <w:highlight w:val="none"/>
        </w:rPr>
        <w:t>的身份证明（适用于法定代表人、单位负责人或者自然人本人代表供应商参加投标）</w:t>
      </w:r>
    </w:p>
    <w:p w14:paraId="1D5D266A">
      <w:pPr>
        <w:pStyle w:val="619"/>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身份证件扫描件：</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373B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7" w:hRule="atLeast"/>
          <w:jc w:val="center"/>
        </w:trPr>
        <w:tc>
          <w:tcPr>
            <w:tcW w:w="9207" w:type="dxa"/>
          </w:tcPr>
          <w:p w14:paraId="42C10AD3">
            <w:pPr>
              <w:pStyle w:val="619"/>
              <w:adjustRightInd w:val="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正面：                                 反面：</w:t>
            </w:r>
          </w:p>
          <w:p w14:paraId="240C3FDE">
            <w:pPr>
              <w:pStyle w:val="619"/>
              <w:adjustRightInd w:val="0"/>
              <w:spacing w:line="360" w:lineRule="auto"/>
              <w:rPr>
                <w:rFonts w:ascii="仿宋" w:hAnsi="仿宋" w:eastAsia="仿宋" w:cs="仿宋"/>
                <w:bCs/>
                <w:color w:val="auto"/>
                <w:sz w:val="24"/>
                <w:highlight w:val="none"/>
              </w:rPr>
            </w:pPr>
          </w:p>
        </w:tc>
      </w:tr>
    </w:tbl>
    <w:p w14:paraId="2B9CECA4">
      <w:pPr>
        <w:snapToGrid w:val="0"/>
        <w:spacing w:line="360" w:lineRule="auto"/>
        <w:ind w:firstLine="576"/>
        <w:jc w:val="center"/>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w:t>
      </w:r>
    </w:p>
    <w:p w14:paraId="38E4CD5B">
      <w:pPr>
        <w:snapToGrid w:val="0"/>
        <w:spacing w:line="360" w:lineRule="auto"/>
        <w:ind w:firstLine="576"/>
        <w:jc w:val="center"/>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供应商名称(电子签名)：                              </w:t>
      </w:r>
    </w:p>
    <w:p w14:paraId="235A1173">
      <w:pPr>
        <w:spacing w:line="360" w:lineRule="auto"/>
        <w:jc w:val="center"/>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日期：  年  月  日</w:t>
      </w:r>
    </w:p>
    <w:p w14:paraId="18A1EB6E">
      <w:pPr>
        <w:jc w:val="center"/>
        <w:rPr>
          <w:rFonts w:ascii="仿宋" w:hAnsi="仿宋" w:eastAsia="仿宋" w:cs="仿宋"/>
          <w:b/>
          <w:color w:val="auto"/>
          <w:kern w:val="0"/>
          <w:sz w:val="32"/>
          <w:szCs w:val="32"/>
          <w:highlight w:val="none"/>
        </w:rPr>
      </w:pPr>
    </w:p>
    <w:p w14:paraId="3CD8F982">
      <w:pPr>
        <w:jc w:val="center"/>
        <w:rPr>
          <w:rFonts w:ascii="仿宋" w:hAnsi="仿宋" w:eastAsia="仿宋" w:cs="仿宋"/>
          <w:b/>
          <w:color w:val="auto"/>
          <w:kern w:val="0"/>
          <w:sz w:val="32"/>
          <w:szCs w:val="32"/>
          <w:highlight w:val="none"/>
        </w:rPr>
      </w:pPr>
    </w:p>
    <w:p w14:paraId="3E007216">
      <w:pPr>
        <w:jc w:val="center"/>
        <w:rPr>
          <w:rFonts w:ascii="仿宋" w:hAnsi="仿宋" w:eastAsia="仿宋" w:cs="仿宋"/>
          <w:b/>
          <w:color w:val="auto"/>
          <w:kern w:val="0"/>
          <w:sz w:val="32"/>
          <w:szCs w:val="32"/>
          <w:highlight w:val="none"/>
        </w:rPr>
      </w:pPr>
    </w:p>
    <w:p w14:paraId="0FEF0633">
      <w:pPr>
        <w:jc w:val="center"/>
        <w:rPr>
          <w:rFonts w:ascii="仿宋" w:hAnsi="仿宋" w:eastAsia="仿宋" w:cs="仿宋"/>
          <w:b/>
          <w:color w:val="auto"/>
          <w:kern w:val="0"/>
          <w:sz w:val="32"/>
          <w:szCs w:val="32"/>
          <w:highlight w:val="none"/>
        </w:rPr>
      </w:pPr>
    </w:p>
    <w:p w14:paraId="11ED2933">
      <w:pPr>
        <w:jc w:val="center"/>
        <w:rPr>
          <w:rFonts w:ascii="仿宋" w:hAnsi="仿宋" w:eastAsia="仿宋" w:cs="仿宋"/>
          <w:b/>
          <w:color w:val="auto"/>
          <w:kern w:val="0"/>
          <w:sz w:val="32"/>
          <w:szCs w:val="32"/>
          <w:highlight w:val="none"/>
        </w:rPr>
      </w:pPr>
    </w:p>
    <w:p w14:paraId="20D265B7">
      <w:pPr>
        <w:jc w:val="center"/>
        <w:rPr>
          <w:rFonts w:ascii="仿宋" w:hAnsi="仿宋" w:eastAsia="仿宋" w:cs="仿宋"/>
          <w:b/>
          <w:color w:val="auto"/>
          <w:kern w:val="0"/>
          <w:sz w:val="32"/>
          <w:szCs w:val="32"/>
          <w:highlight w:val="none"/>
        </w:rPr>
      </w:pPr>
    </w:p>
    <w:p w14:paraId="6ADD6A56">
      <w:pPr>
        <w:jc w:val="center"/>
        <w:rPr>
          <w:rFonts w:ascii="仿宋" w:hAnsi="仿宋" w:eastAsia="仿宋" w:cs="仿宋"/>
          <w:b/>
          <w:color w:val="auto"/>
          <w:kern w:val="0"/>
          <w:sz w:val="32"/>
          <w:szCs w:val="32"/>
          <w:highlight w:val="none"/>
        </w:rPr>
      </w:pPr>
    </w:p>
    <w:p w14:paraId="2A839322">
      <w:pPr>
        <w:jc w:val="center"/>
        <w:rPr>
          <w:rFonts w:ascii="仿宋" w:hAnsi="仿宋" w:eastAsia="仿宋" w:cs="仿宋"/>
          <w:b/>
          <w:color w:val="auto"/>
          <w:kern w:val="0"/>
          <w:sz w:val="32"/>
          <w:szCs w:val="32"/>
          <w:highlight w:val="none"/>
        </w:rPr>
      </w:pPr>
    </w:p>
    <w:p w14:paraId="468424A4">
      <w:pPr>
        <w:jc w:val="center"/>
        <w:rPr>
          <w:rFonts w:ascii="仿宋" w:hAnsi="仿宋" w:eastAsia="仿宋" w:cs="仿宋"/>
          <w:b/>
          <w:color w:val="auto"/>
          <w:kern w:val="0"/>
          <w:sz w:val="32"/>
          <w:szCs w:val="32"/>
          <w:highlight w:val="none"/>
        </w:rPr>
      </w:pPr>
    </w:p>
    <w:p w14:paraId="3EE80EAF">
      <w:pPr>
        <w:jc w:val="center"/>
        <w:rPr>
          <w:rFonts w:ascii="仿宋" w:hAnsi="仿宋" w:eastAsia="仿宋" w:cs="仿宋"/>
          <w:b/>
          <w:color w:val="auto"/>
          <w:kern w:val="0"/>
          <w:sz w:val="32"/>
          <w:szCs w:val="32"/>
          <w:highlight w:val="none"/>
        </w:rPr>
      </w:pPr>
    </w:p>
    <w:p w14:paraId="1FEB1997">
      <w:pPr>
        <w:jc w:val="center"/>
        <w:rPr>
          <w:rFonts w:ascii="仿宋" w:hAnsi="仿宋" w:eastAsia="仿宋" w:cs="仿宋"/>
          <w:b/>
          <w:color w:val="auto"/>
          <w:kern w:val="0"/>
          <w:sz w:val="32"/>
          <w:szCs w:val="32"/>
          <w:highlight w:val="none"/>
        </w:rPr>
      </w:pPr>
    </w:p>
    <w:p w14:paraId="6294A013">
      <w:pPr>
        <w:jc w:val="center"/>
        <w:rPr>
          <w:rFonts w:ascii="仿宋" w:hAnsi="仿宋" w:eastAsia="仿宋" w:cs="仿宋"/>
          <w:b/>
          <w:color w:val="auto"/>
          <w:kern w:val="0"/>
          <w:sz w:val="32"/>
          <w:szCs w:val="32"/>
          <w:highlight w:val="none"/>
        </w:rPr>
      </w:pPr>
    </w:p>
    <w:p w14:paraId="3BEA50EF">
      <w:pPr>
        <w:jc w:val="center"/>
        <w:rPr>
          <w:rFonts w:ascii="仿宋" w:hAnsi="仿宋" w:eastAsia="仿宋" w:cs="仿宋"/>
          <w:b/>
          <w:color w:val="auto"/>
          <w:kern w:val="0"/>
          <w:sz w:val="32"/>
          <w:szCs w:val="32"/>
          <w:highlight w:val="none"/>
        </w:rPr>
      </w:pPr>
    </w:p>
    <w:p w14:paraId="3A5763FA">
      <w:pPr>
        <w:jc w:val="center"/>
        <w:rPr>
          <w:rFonts w:ascii="仿宋" w:hAnsi="仿宋" w:eastAsia="仿宋" w:cs="仿宋"/>
          <w:b/>
          <w:color w:val="auto"/>
          <w:kern w:val="0"/>
          <w:sz w:val="32"/>
          <w:szCs w:val="32"/>
          <w:highlight w:val="none"/>
        </w:rPr>
      </w:pPr>
    </w:p>
    <w:p w14:paraId="4CBC9AB6">
      <w:pPr>
        <w:jc w:val="center"/>
        <w:rPr>
          <w:rFonts w:ascii="仿宋" w:hAnsi="仿宋" w:eastAsia="仿宋" w:cs="仿宋"/>
          <w:b/>
          <w:color w:val="auto"/>
          <w:kern w:val="0"/>
          <w:sz w:val="32"/>
          <w:szCs w:val="32"/>
          <w:highlight w:val="none"/>
        </w:rPr>
      </w:pPr>
    </w:p>
    <w:p w14:paraId="1A7EFE92">
      <w:pPr>
        <w:jc w:val="center"/>
        <w:rPr>
          <w:rFonts w:ascii="仿宋" w:hAnsi="仿宋" w:eastAsia="仿宋" w:cs="仿宋"/>
          <w:b/>
          <w:color w:val="auto"/>
          <w:kern w:val="0"/>
          <w:sz w:val="32"/>
          <w:szCs w:val="32"/>
          <w:highlight w:val="none"/>
        </w:rPr>
      </w:pPr>
    </w:p>
    <w:p w14:paraId="6CCD8A1D">
      <w:pPr>
        <w:jc w:val="center"/>
        <w:rPr>
          <w:rFonts w:ascii="仿宋" w:hAnsi="仿宋" w:eastAsia="仿宋" w:cs="仿宋"/>
          <w:b/>
          <w:color w:val="auto"/>
          <w:kern w:val="0"/>
          <w:sz w:val="32"/>
          <w:szCs w:val="32"/>
          <w:highlight w:val="none"/>
        </w:rPr>
      </w:pPr>
    </w:p>
    <w:p w14:paraId="35F64E47">
      <w:pPr>
        <w:jc w:val="center"/>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三、符合性审查资料</w:t>
      </w:r>
    </w:p>
    <w:p w14:paraId="777E630A">
      <w:pPr>
        <w:jc w:val="center"/>
        <w:rPr>
          <w:rFonts w:ascii="仿宋" w:hAnsi="仿宋" w:eastAsia="仿宋" w:cs="仿宋"/>
          <w:b/>
          <w:color w:val="auto"/>
          <w:kern w:val="0"/>
          <w:sz w:val="32"/>
          <w:szCs w:val="32"/>
          <w:highlight w:val="none"/>
        </w:rPr>
      </w:pPr>
    </w:p>
    <w:tbl>
      <w:tblPr>
        <w:tblStyle w:val="61"/>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3976"/>
        <w:gridCol w:w="3566"/>
        <w:gridCol w:w="1418"/>
      </w:tblGrid>
      <w:tr w14:paraId="4BE4B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3A5B2D6">
            <w:pPr>
              <w:snapToGrid w:val="0"/>
              <w:spacing w:line="240" w:lineRule="atLeas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3976" w:type="dxa"/>
            <w:vAlign w:val="center"/>
          </w:tcPr>
          <w:p w14:paraId="25C2B742">
            <w:pPr>
              <w:snapToGrid w:val="0"/>
              <w:spacing w:line="240" w:lineRule="atLeas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实质性要求</w:t>
            </w:r>
          </w:p>
        </w:tc>
        <w:tc>
          <w:tcPr>
            <w:tcW w:w="3566" w:type="dxa"/>
            <w:vAlign w:val="center"/>
          </w:tcPr>
          <w:p w14:paraId="5A1ED7B6">
            <w:pPr>
              <w:snapToGrid w:val="0"/>
              <w:spacing w:line="240" w:lineRule="atLeas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需要提供的符合性审查资料</w:t>
            </w:r>
          </w:p>
        </w:tc>
        <w:tc>
          <w:tcPr>
            <w:tcW w:w="1418" w:type="dxa"/>
            <w:vAlign w:val="center"/>
          </w:tcPr>
          <w:p w14:paraId="22FE5FB6">
            <w:pPr>
              <w:snapToGrid w:val="0"/>
              <w:spacing w:line="240" w:lineRule="atLeas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响应文件中的</w:t>
            </w:r>
          </w:p>
          <w:p w14:paraId="310C9BBA">
            <w:pPr>
              <w:snapToGrid w:val="0"/>
              <w:spacing w:line="240" w:lineRule="atLeas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页码位置</w:t>
            </w:r>
          </w:p>
        </w:tc>
      </w:tr>
      <w:tr w14:paraId="49FE7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793C1E9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976" w:type="dxa"/>
            <w:vAlign w:val="center"/>
          </w:tcPr>
          <w:p w14:paraId="1251A9EC">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响应文件按照交易文件要求签署、盖章。</w:t>
            </w:r>
          </w:p>
        </w:tc>
        <w:tc>
          <w:tcPr>
            <w:tcW w:w="3566" w:type="dxa"/>
            <w:vAlign w:val="center"/>
          </w:tcPr>
          <w:p w14:paraId="7DEAFAE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需要使用电子签名或者签字盖章的响应文件的组成部分</w:t>
            </w:r>
          </w:p>
        </w:tc>
        <w:tc>
          <w:tcPr>
            <w:tcW w:w="1418" w:type="dxa"/>
            <w:vAlign w:val="center"/>
          </w:tcPr>
          <w:p w14:paraId="0B70468E">
            <w:pPr>
              <w:jc w:val="center"/>
              <w:rPr>
                <w:rFonts w:ascii="仿宋" w:hAnsi="仿宋" w:eastAsia="仿宋" w:cs="仿宋"/>
                <w:color w:val="auto"/>
                <w:sz w:val="24"/>
                <w:highlight w:val="none"/>
              </w:rPr>
            </w:pPr>
          </w:p>
          <w:p w14:paraId="018EC259">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见响应文件</w:t>
            </w:r>
          </w:p>
          <w:p w14:paraId="303B5526">
            <w:pPr>
              <w:jc w:val="center"/>
              <w:rPr>
                <w:rFonts w:ascii="仿宋" w:hAnsi="仿宋" w:eastAsia="仿宋" w:cs="仿宋"/>
                <w:color w:val="auto"/>
                <w:highlight w:val="none"/>
              </w:rPr>
            </w:pPr>
            <w:r>
              <w:rPr>
                <w:rFonts w:hint="eastAsia" w:ascii="仿宋" w:hAnsi="仿宋" w:eastAsia="仿宋" w:cs="仿宋"/>
                <w:color w:val="auto"/>
                <w:sz w:val="24"/>
                <w:highlight w:val="none"/>
              </w:rPr>
              <w:t>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页</w:t>
            </w:r>
          </w:p>
        </w:tc>
      </w:tr>
      <w:tr w14:paraId="10E45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6E34BF9D">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3976" w:type="dxa"/>
            <w:vAlign w:val="center"/>
          </w:tcPr>
          <w:p w14:paraId="7E063ECA">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响应文件中承诺的交易有效期不少于交易文件中载明的交易有效期。</w:t>
            </w:r>
          </w:p>
        </w:tc>
        <w:tc>
          <w:tcPr>
            <w:tcW w:w="3566" w:type="dxa"/>
            <w:vAlign w:val="center"/>
          </w:tcPr>
          <w:p w14:paraId="3642D12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交易函</w:t>
            </w:r>
          </w:p>
        </w:tc>
        <w:tc>
          <w:tcPr>
            <w:tcW w:w="1418" w:type="dxa"/>
            <w:vAlign w:val="center"/>
          </w:tcPr>
          <w:p w14:paraId="68E33972">
            <w:pPr>
              <w:jc w:val="center"/>
              <w:rPr>
                <w:rFonts w:ascii="仿宋" w:hAnsi="仿宋" w:eastAsia="仿宋" w:cs="仿宋"/>
                <w:color w:val="auto"/>
                <w:highlight w:val="none"/>
              </w:rPr>
            </w:pPr>
            <w:r>
              <w:rPr>
                <w:rFonts w:hint="eastAsia" w:ascii="仿宋" w:hAnsi="仿宋" w:eastAsia="仿宋" w:cs="仿宋"/>
                <w:color w:val="auto"/>
                <w:sz w:val="24"/>
                <w:highlight w:val="none"/>
              </w:rPr>
              <w:t>见响应文件第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页</w:t>
            </w:r>
          </w:p>
        </w:tc>
      </w:tr>
      <w:tr w14:paraId="7810E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09FAB35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3976" w:type="dxa"/>
            <w:vAlign w:val="center"/>
          </w:tcPr>
          <w:p w14:paraId="4A54FA39">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响应文件满足交易文件的其它实质性要求。</w:t>
            </w:r>
          </w:p>
        </w:tc>
        <w:tc>
          <w:tcPr>
            <w:tcW w:w="3566" w:type="dxa"/>
            <w:vAlign w:val="center"/>
          </w:tcPr>
          <w:p w14:paraId="6EE03004">
            <w:pPr>
              <w:jc w:val="center"/>
              <w:rPr>
                <w:rFonts w:ascii="仿宋" w:hAnsi="仿宋" w:eastAsia="仿宋" w:cs="仿宋"/>
                <w:color w:val="auto"/>
                <w:sz w:val="24"/>
                <w:highlight w:val="none"/>
              </w:rPr>
            </w:pPr>
            <w:r>
              <w:rPr>
                <w:rFonts w:hint="eastAsia" w:ascii="仿宋" w:hAnsi="仿宋" w:eastAsia="仿宋" w:cs="仿宋"/>
                <w:color w:val="auto"/>
                <w:kern w:val="0"/>
                <w:sz w:val="24"/>
                <w:highlight w:val="none"/>
              </w:rPr>
              <w:t>交易文件其它实质性要求相应的材料（“▲” 系指实质性要求条款，交易文件无其它实质性要求的，无需提供）</w:t>
            </w:r>
          </w:p>
        </w:tc>
        <w:tc>
          <w:tcPr>
            <w:tcW w:w="1418" w:type="dxa"/>
            <w:vAlign w:val="center"/>
          </w:tcPr>
          <w:p w14:paraId="07609E45">
            <w:pPr>
              <w:jc w:val="center"/>
              <w:rPr>
                <w:rFonts w:ascii="仿宋" w:hAnsi="仿宋" w:eastAsia="仿宋" w:cs="仿宋"/>
                <w:color w:val="auto"/>
                <w:highlight w:val="none"/>
              </w:rPr>
            </w:pPr>
            <w:r>
              <w:rPr>
                <w:rFonts w:hint="eastAsia" w:ascii="仿宋" w:hAnsi="仿宋" w:eastAsia="仿宋" w:cs="仿宋"/>
                <w:color w:val="auto"/>
                <w:sz w:val="24"/>
                <w:highlight w:val="none"/>
              </w:rPr>
              <w:t>见响应文件第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页</w:t>
            </w:r>
          </w:p>
        </w:tc>
      </w:tr>
    </w:tbl>
    <w:p w14:paraId="4B15D428">
      <w:pPr>
        <w:spacing w:line="360" w:lineRule="auto"/>
        <w:ind w:right="420"/>
        <w:rPr>
          <w:rFonts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3E8B2B81">
      <w:pPr>
        <w:jc w:val="center"/>
        <w:rPr>
          <w:rFonts w:ascii="仿宋" w:hAnsi="仿宋" w:eastAsia="仿宋" w:cs="仿宋"/>
          <w:b/>
          <w:color w:val="auto"/>
          <w:kern w:val="0"/>
          <w:sz w:val="32"/>
          <w:szCs w:val="32"/>
          <w:highlight w:val="none"/>
        </w:rPr>
      </w:pPr>
    </w:p>
    <w:p w14:paraId="6D775B5D">
      <w:pPr>
        <w:jc w:val="center"/>
        <w:rPr>
          <w:rFonts w:ascii="仿宋" w:hAnsi="仿宋" w:eastAsia="仿宋" w:cs="仿宋"/>
          <w:b/>
          <w:color w:val="auto"/>
          <w:kern w:val="0"/>
          <w:sz w:val="32"/>
          <w:szCs w:val="32"/>
          <w:highlight w:val="none"/>
        </w:rPr>
      </w:pPr>
    </w:p>
    <w:p w14:paraId="072C835E">
      <w:pPr>
        <w:jc w:val="center"/>
        <w:rPr>
          <w:rFonts w:ascii="仿宋" w:hAnsi="仿宋" w:eastAsia="仿宋" w:cs="仿宋"/>
          <w:b/>
          <w:color w:val="auto"/>
          <w:kern w:val="0"/>
          <w:sz w:val="32"/>
          <w:szCs w:val="32"/>
          <w:highlight w:val="none"/>
        </w:rPr>
      </w:pPr>
    </w:p>
    <w:p w14:paraId="184C6C5F">
      <w:pPr>
        <w:jc w:val="center"/>
        <w:rPr>
          <w:rFonts w:ascii="仿宋" w:hAnsi="仿宋" w:eastAsia="仿宋" w:cs="仿宋"/>
          <w:b/>
          <w:color w:val="auto"/>
          <w:kern w:val="0"/>
          <w:sz w:val="32"/>
          <w:szCs w:val="32"/>
          <w:highlight w:val="none"/>
        </w:rPr>
      </w:pPr>
    </w:p>
    <w:p w14:paraId="754584E0">
      <w:pPr>
        <w:jc w:val="center"/>
        <w:rPr>
          <w:rFonts w:ascii="仿宋" w:hAnsi="仿宋" w:eastAsia="仿宋" w:cs="仿宋"/>
          <w:b/>
          <w:color w:val="auto"/>
          <w:kern w:val="0"/>
          <w:sz w:val="32"/>
          <w:szCs w:val="32"/>
          <w:highlight w:val="none"/>
        </w:rPr>
      </w:pPr>
    </w:p>
    <w:p w14:paraId="55E8F07B">
      <w:pPr>
        <w:jc w:val="center"/>
        <w:rPr>
          <w:rFonts w:ascii="仿宋" w:hAnsi="仿宋" w:eastAsia="仿宋" w:cs="仿宋"/>
          <w:b/>
          <w:color w:val="auto"/>
          <w:kern w:val="0"/>
          <w:sz w:val="32"/>
          <w:szCs w:val="32"/>
          <w:highlight w:val="none"/>
        </w:rPr>
      </w:pPr>
    </w:p>
    <w:p w14:paraId="5AE345A1">
      <w:pPr>
        <w:jc w:val="center"/>
        <w:rPr>
          <w:rFonts w:ascii="仿宋" w:hAnsi="仿宋" w:eastAsia="仿宋" w:cs="仿宋"/>
          <w:b/>
          <w:color w:val="auto"/>
          <w:kern w:val="0"/>
          <w:sz w:val="32"/>
          <w:szCs w:val="32"/>
          <w:highlight w:val="none"/>
        </w:rPr>
      </w:pPr>
    </w:p>
    <w:p w14:paraId="7D8E3F6D">
      <w:pPr>
        <w:jc w:val="center"/>
        <w:rPr>
          <w:rFonts w:ascii="仿宋" w:hAnsi="仿宋" w:eastAsia="仿宋" w:cs="仿宋"/>
          <w:b/>
          <w:color w:val="auto"/>
          <w:kern w:val="0"/>
          <w:sz w:val="32"/>
          <w:szCs w:val="32"/>
          <w:highlight w:val="none"/>
        </w:rPr>
      </w:pPr>
    </w:p>
    <w:p w14:paraId="5A6C6159">
      <w:pPr>
        <w:rPr>
          <w:rFonts w:ascii="仿宋" w:hAnsi="仿宋" w:eastAsia="仿宋" w:cs="仿宋"/>
          <w:b/>
          <w:color w:val="auto"/>
          <w:kern w:val="0"/>
          <w:sz w:val="32"/>
          <w:szCs w:val="32"/>
          <w:highlight w:val="none"/>
        </w:rPr>
      </w:pPr>
    </w:p>
    <w:p w14:paraId="169FC945">
      <w:pPr>
        <w:jc w:val="center"/>
        <w:rPr>
          <w:rFonts w:ascii="仿宋" w:hAnsi="仿宋" w:eastAsia="仿宋" w:cs="仿宋"/>
          <w:color w:val="auto"/>
          <w:highlight w:val="none"/>
        </w:rPr>
      </w:pPr>
      <w:r>
        <w:rPr>
          <w:rFonts w:hint="eastAsia" w:ascii="仿宋" w:hAnsi="仿宋" w:eastAsia="仿宋" w:cs="仿宋"/>
          <w:b/>
          <w:color w:val="auto"/>
          <w:kern w:val="0"/>
          <w:sz w:val="32"/>
          <w:szCs w:val="32"/>
          <w:highlight w:val="none"/>
        </w:rPr>
        <w:t>四、评标标准相应的商务技术资料</w:t>
      </w:r>
    </w:p>
    <w:p w14:paraId="55210506">
      <w:pPr>
        <w:snapToGrid w:val="0"/>
        <w:spacing w:line="360" w:lineRule="auto"/>
        <w:jc w:val="left"/>
        <w:rPr>
          <w:rFonts w:ascii="仿宋" w:hAnsi="仿宋" w:eastAsia="仿宋" w:cs="仿宋"/>
          <w:b/>
          <w:color w:val="auto"/>
          <w:sz w:val="24"/>
          <w:highlight w:val="none"/>
        </w:rPr>
      </w:pPr>
      <w:r>
        <w:rPr>
          <w:rFonts w:hint="eastAsia" w:ascii="仿宋" w:hAnsi="仿宋" w:eastAsia="仿宋" w:cs="仿宋"/>
          <w:b/>
          <w:color w:val="auto"/>
          <w:sz w:val="24"/>
          <w:highlight w:val="none"/>
        </w:rPr>
        <w:t>（按交易文件第四部分交易办法前附表中“响应文件中评标标准相应的商务技术资料目录”提供资料。）</w:t>
      </w:r>
    </w:p>
    <w:p w14:paraId="712CC69E">
      <w:pPr>
        <w:jc w:val="center"/>
        <w:rPr>
          <w:rFonts w:ascii="仿宋" w:hAnsi="仿宋" w:eastAsia="仿宋" w:cs="仿宋"/>
          <w:b/>
          <w:color w:val="auto"/>
          <w:kern w:val="0"/>
          <w:sz w:val="32"/>
          <w:szCs w:val="32"/>
          <w:highlight w:val="none"/>
        </w:rPr>
      </w:pPr>
    </w:p>
    <w:p w14:paraId="3E7C250D">
      <w:pPr>
        <w:jc w:val="center"/>
        <w:rPr>
          <w:rFonts w:ascii="仿宋" w:hAnsi="仿宋" w:eastAsia="仿宋" w:cs="仿宋"/>
          <w:b/>
          <w:color w:val="auto"/>
          <w:kern w:val="0"/>
          <w:sz w:val="32"/>
          <w:szCs w:val="32"/>
          <w:highlight w:val="none"/>
        </w:rPr>
      </w:pPr>
    </w:p>
    <w:p w14:paraId="55156ABB">
      <w:pPr>
        <w:jc w:val="center"/>
        <w:rPr>
          <w:rFonts w:ascii="仿宋" w:hAnsi="仿宋" w:eastAsia="仿宋" w:cs="仿宋"/>
          <w:b/>
          <w:color w:val="auto"/>
          <w:kern w:val="0"/>
          <w:sz w:val="32"/>
          <w:szCs w:val="32"/>
          <w:highlight w:val="none"/>
        </w:rPr>
      </w:pPr>
    </w:p>
    <w:p w14:paraId="35E76CB8">
      <w:pPr>
        <w:jc w:val="center"/>
        <w:rPr>
          <w:rFonts w:ascii="仿宋" w:hAnsi="仿宋" w:eastAsia="仿宋" w:cs="仿宋"/>
          <w:b/>
          <w:color w:val="auto"/>
          <w:kern w:val="0"/>
          <w:sz w:val="32"/>
          <w:szCs w:val="32"/>
          <w:highlight w:val="none"/>
        </w:rPr>
      </w:pPr>
    </w:p>
    <w:p w14:paraId="43FAEA54">
      <w:pPr>
        <w:jc w:val="center"/>
        <w:rPr>
          <w:rFonts w:ascii="仿宋" w:hAnsi="仿宋" w:eastAsia="仿宋" w:cs="仿宋"/>
          <w:b/>
          <w:color w:val="auto"/>
          <w:kern w:val="0"/>
          <w:sz w:val="32"/>
          <w:szCs w:val="32"/>
          <w:highlight w:val="none"/>
        </w:rPr>
      </w:pPr>
    </w:p>
    <w:p w14:paraId="6093C0A3">
      <w:pPr>
        <w:jc w:val="center"/>
        <w:rPr>
          <w:rFonts w:ascii="仿宋" w:hAnsi="仿宋" w:eastAsia="仿宋" w:cs="仿宋"/>
          <w:b/>
          <w:color w:val="auto"/>
          <w:kern w:val="0"/>
          <w:sz w:val="32"/>
          <w:szCs w:val="32"/>
          <w:highlight w:val="none"/>
        </w:rPr>
      </w:pPr>
    </w:p>
    <w:p w14:paraId="53D13084">
      <w:pPr>
        <w:jc w:val="center"/>
        <w:rPr>
          <w:rFonts w:ascii="仿宋" w:hAnsi="仿宋" w:eastAsia="仿宋" w:cs="仿宋"/>
          <w:b/>
          <w:color w:val="auto"/>
          <w:kern w:val="0"/>
          <w:sz w:val="32"/>
          <w:szCs w:val="32"/>
          <w:highlight w:val="none"/>
        </w:rPr>
      </w:pPr>
    </w:p>
    <w:p w14:paraId="74312BAE">
      <w:pPr>
        <w:rPr>
          <w:rFonts w:ascii="仿宋" w:hAnsi="仿宋" w:eastAsia="仿宋" w:cs="仿宋"/>
          <w:b/>
          <w:color w:val="auto"/>
          <w:kern w:val="0"/>
          <w:sz w:val="32"/>
          <w:szCs w:val="32"/>
          <w:highlight w:val="none"/>
        </w:rPr>
      </w:pPr>
    </w:p>
    <w:p w14:paraId="2BCFA101">
      <w:pPr>
        <w:ind w:firstLine="2891" w:firstLineChars="900"/>
        <w:rPr>
          <w:rFonts w:ascii="仿宋" w:hAnsi="仿宋" w:eastAsia="仿宋" w:cs="仿宋"/>
          <w:b/>
          <w:color w:val="auto"/>
          <w:kern w:val="0"/>
          <w:sz w:val="32"/>
          <w:szCs w:val="32"/>
          <w:highlight w:val="none"/>
        </w:rPr>
      </w:pPr>
    </w:p>
    <w:p w14:paraId="3780D36F">
      <w:pPr>
        <w:ind w:firstLine="2891" w:firstLineChars="900"/>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五、响应标的清单</w:t>
      </w:r>
    </w:p>
    <w:tbl>
      <w:tblPr>
        <w:tblStyle w:val="61"/>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768"/>
        <w:gridCol w:w="2267"/>
        <w:gridCol w:w="930"/>
        <w:gridCol w:w="1526"/>
      </w:tblGrid>
      <w:tr w14:paraId="4A0B8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7E391E27">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369" w:type="dxa"/>
            <w:tcBorders>
              <w:top w:val="single" w:color="auto" w:sz="4" w:space="0"/>
              <w:left w:val="single" w:color="auto" w:sz="4" w:space="0"/>
              <w:bottom w:val="single" w:color="auto" w:sz="4" w:space="0"/>
              <w:right w:val="single" w:color="auto" w:sz="4" w:space="0"/>
            </w:tcBorders>
            <w:vAlign w:val="center"/>
          </w:tcPr>
          <w:p w14:paraId="04C14254">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名称</w:t>
            </w:r>
          </w:p>
        </w:tc>
        <w:tc>
          <w:tcPr>
            <w:tcW w:w="1114" w:type="dxa"/>
            <w:tcBorders>
              <w:top w:val="single" w:color="auto" w:sz="4" w:space="0"/>
              <w:left w:val="single" w:color="auto" w:sz="4" w:space="0"/>
              <w:bottom w:val="single" w:color="auto" w:sz="4" w:space="0"/>
              <w:right w:val="single" w:color="auto" w:sz="4" w:space="0"/>
            </w:tcBorders>
            <w:vAlign w:val="center"/>
          </w:tcPr>
          <w:p w14:paraId="47588B29">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图例</w:t>
            </w:r>
          </w:p>
        </w:tc>
        <w:tc>
          <w:tcPr>
            <w:tcW w:w="1768" w:type="dxa"/>
            <w:tcBorders>
              <w:top w:val="single" w:color="auto" w:sz="4" w:space="0"/>
              <w:left w:val="single" w:color="auto" w:sz="4" w:space="0"/>
              <w:bottom w:val="single" w:color="auto" w:sz="4" w:space="0"/>
              <w:right w:val="single" w:color="auto" w:sz="4" w:space="0"/>
            </w:tcBorders>
            <w:vAlign w:val="center"/>
          </w:tcPr>
          <w:p w14:paraId="7C6CA788">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型号（如果有）</w:t>
            </w:r>
          </w:p>
        </w:tc>
        <w:tc>
          <w:tcPr>
            <w:tcW w:w="2267" w:type="dxa"/>
            <w:tcBorders>
              <w:top w:val="single" w:color="auto" w:sz="4" w:space="0"/>
              <w:left w:val="single" w:color="auto" w:sz="4" w:space="0"/>
              <w:bottom w:val="single" w:color="auto" w:sz="4" w:space="0"/>
              <w:right w:val="single" w:color="auto" w:sz="4" w:space="0"/>
            </w:tcBorders>
            <w:vAlign w:val="center"/>
          </w:tcPr>
          <w:p w14:paraId="58EFDC3F">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规格配置详细说明</w:t>
            </w:r>
          </w:p>
        </w:tc>
        <w:tc>
          <w:tcPr>
            <w:tcW w:w="930" w:type="dxa"/>
            <w:tcBorders>
              <w:top w:val="single" w:color="auto" w:sz="4" w:space="0"/>
              <w:left w:val="single" w:color="auto" w:sz="4" w:space="0"/>
              <w:bottom w:val="single" w:color="auto" w:sz="4" w:space="0"/>
              <w:right w:val="single" w:color="auto" w:sz="4" w:space="0"/>
            </w:tcBorders>
            <w:vAlign w:val="center"/>
          </w:tcPr>
          <w:p w14:paraId="0757FE93">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1526" w:type="dxa"/>
            <w:tcBorders>
              <w:top w:val="single" w:color="auto" w:sz="4" w:space="0"/>
              <w:left w:val="single" w:color="auto" w:sz="4" w:space="0"/>
              <w:bottom w:val="single" w:color="auto" w:sz="4" w:space="0"/>
              <w:right w:val="single" w:color="auto" w:sz="4" w:space="0"/>
            </w:tcBorders>
            <w:vAlign w:val="center"/>
          </w:tcPr>
          <w:p w14:paraId="63D67D96">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3017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6CC6356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369" w:type="dxa"/>
            <w:tcBorders>
              <w:top w:val="single" w:color="auto" w:sz="4" w:space="0"/>
              <w:left w:val="single" w:color="auto" w:sz="4" w:space="0"/>
              <w:bottom w:val="single" w:color="auto" w:sz="4" w:space="0"/>
              <w:right w:val="single" w:color="auto" w:sz="4" w:space="0"/>
            </w:tcBorders>
            <w:vAlign w:val="center"/>
          </w:tcPr>
          <w:p w14:paraId="540471E9">
            <w:pPr>
              <w:snapToGrid w:val="0"/>
              <w:spacing w:line="360" w:lineRule="auto"/>
              <w:jc w:val="center"/>
              <w:rPr>
                <w:rFonts w:ascii="仿宋" w:hAnsi="仿宋" w:eastAsia="仿宋" w:cs="仿宋"/>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9E749E2">
            <w:pPr>
              <w:snapToGrid w:val="0"/>
              <w:spacing w:line="360" w:lineRule="auto"/>
              <w:jc w:val="center"/>
              <w:rPr>
                <w:rFonts w:ascii="仿宋" w:hAnsi="仿宋" w:eastAsia="仿宋" w:cs="仿宋"/>
                <w:color w:val="auto"/>
                <w:sz w:val="24"/>
                <w:highlight w:val="none"/>
              </w:rPr>
            </w:pPr>
          </w:p>
        </w:tc>
        <w:tc>
          <w:tcPr>
            <w:tcW w:w="1768" w:type="dxa"/>
            <w:tcBorders>
              <w:top w:val="single" w:color="auto" w:sz="4" w:space="0"/>
              <w:left w:val="single" w:color="auto" w:sz="4" w:space="0"/>
              <w:bottom w:val="single" w:color="auto" w:sz="4" w:space="0"/>
              <w:right w:val="single" w:color="auto" w:sz="4" w:space="0"/>
            </w:tcBorders>
            <w:vAlign w:val="center"/>
          </w:tcPr>
          <w:p w14:paraId="7348A229">
            <w:pPr>
              <w:snapToGrid w:val="0"/>
              <w:spacing w:line="360" w:lineRule="auto"/>
              <w:jc w:val="center"/>
              <w:rPr>
                <w:rFonts w:ascii="仿宋" w:hAnsi="仿宋" w:eastAsia="仿宋" w:cs="仿宋"/>
                <w:color w:val="auto"/>
                <w:sz w:val="24"/>
                <w:highlight w:val="none"/>
              </w:rPr>
            </w:pPr>
          </w:p>
        </w:tc>
        <w:tc>
          <w:tcPr>
            <w:tcW w:w="2267" w:type="dxa"/>
            <w:tcBorders>
              <w:top w:val="single" w:color="auto" w:sz="4" w:space="0"/>
              <w:left w:val="single" w:color="auto" w:sz="4" w:space="0"/>
              <w:bottom w:val="single" w:color="auto" w:sz="4" w:space="0"/>
              <w:right w:val="single" w:color="auto" w:sz="4" w:space="0"/>
            </w:tcBorders>
            <w:vAlign w:val="center"/>
          </w:tcPr>
          <w:p w14:paraId="4800B18B">
            <w:pPr>
              <w:spacing w:line="360" w:lineRule="auto"/>
              <w:jc w:val="center"/>
              <w:rPr>
                <w:rFonts w:ascii="仿宋" w:hAnsi="仿宋" w:eastAsia="仿宋" w:cs="仿宋"/>
                <w:color w:val="auto"/>
                <w:sz w:val="24"/>
                <w:highlight w:val="none"/>
              </w:rPr>
            </w:pPr>
          </w:p>
        </w:tc>
        <w:tc>
          <w:tcPr>
            <w:tcW w:w="930" w:type="dxa"/>
            <w:tcBorders>
              <w:top w:val="single" w:color="auto" w:sz="4" w:space="0"/>
              <w:left w:val="single" w:color="auto" w:sz="4" w:space="0"/>
              <w:bottom w:val="single" w:color="auto" w:sz="4" w:space="0"/>
              <w:right w:val="single" w:color="auto" w:sz="4" w:space="0"/>
            </w:tcBorders>
            <w:vAlign w:val="center"/>
          </w:tcPr>
          <w:p w14:paraId="7BBA6F02">
            <w:pPr>
              <w:spacing w:line="360" w:lineRule="auto"/>
              <w:jc w:val="center"/>
              <w:rPr>
                <w:rFonts w:ascii="仿宋" w:hAnsi="仿宋" w:eastAsia="仿宋" w:cs="仿宋"/>
                <w:color w:val="auto"/>
                <w:sz w:val="24"/>
                <w:highlight w:val="none"/>
              </w:rPr>
            </w:pPr>
          </w:p>
        </w:tc>
        <w:tc>
          <w:tcPr>
            <w:tcW w:w="1526" w:type="dxa"/>
            <w:tcBorders>
              <w:top w:val="single" w:color="auto" w:sz="4" w:space="0"/>
              <w:left w:val="single" w:color="auto" w:sz="4" w:space="0"/>
              <w:bottom w:val="single" w:color="auto" w:sz="4" w:space="0"/>
              <w:right w:val="single" w:color="auto" w:sz="4" w:space="0"/>
            </w:tcBorders>
            <w:vAlign w:val="center"/>
          </w:tcPr>
          <w:p w14:paraId="7D101F9F">
            <w:pPr>
              <w:spacing w:line="360" w:lineRule="auto"/>
              <w:jc w:val="center"/>
              <w:rPr>
                <w:rFonts w:ascii="仿宋" w:hAnsi="仿宋" w:eastAsia="仿宋" w:cs="仿宋"/>
                <w:color w:val="auto"/>
                <w:sz w:val="24"/>
                <w:highlight w:val="none"/>
              </w:rPr>
            </w:pPr>
          </w:p>
        </w:tc>
      </w:tr>
      <w:tr w14:paraId="35B7D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3E833A3F">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369" w:type="dxa"/>
            <w:tcBorders>
              <w:top w:val="single" w:color="auto" w:sz="4" w:space="0"/>
              <w:left w:val="single" w:color="auto" w:sz="4" w:space="0"/>
              <w:bottom w:val="single" w:color="auto" w:sz="4" w:space="0"/>
              <w:right w:val="single" w:color="auto" w:sz="4" w:space="0"/>
            </w:tcBorders>
            <w:vAlign w:val="center"/>
          </w:tcPr>
          <w:p w14:paraId="59EE4EB1">
            <w:pPr>
              <w:snapToGrid w:val="0"/>
              <w:spacing w:line="360" w:lineRule="auto"/>
              <w:jc w:val="center"/>
              <w:rPr>
                <w:rFonts w:ascii="仿宋" w:hAnsi="仿宋" w:eastAsia="仿宋" w:cs="仿宋"/>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64A59359">
            <w:pPr>
              <w:snapToGrid w:val="0"/>
              <w:spacing w:line="360" w:lineRule="auto"/>
              <w:jc w:val="center"/>
              <w:rPr>
                <w:rFonts w:ascii="仿宋" w:hAnsi="仿宋" w:eastAsia="仿宋" w:cs="仿宋"/>
                <w:color w:val="auto"/>
                <w:sz w:val="24"/>
                <w:highlight w:val="none"/>
              </w:rPr>
            </w:pPr>
          </w:p>
        </w:tc>
        <w:tc>
          <w:tcPr>
            <w:tcW w:w="1768" w:type="dxa"/>
            <w:tcBorders>
              <w:top w:val="single" w:color="auto" w:sz="4" w:space="0"/>
              <w:left w:val="single" w:color="auto" w:sz="4" w:space="0"/>
              <w:bottom w:val="single" w:color="auto" w:sz="4" w:space="0"/>
              <w:right w:val="single" w:color="auto" w:sz="4" w:space="0"/>
            </w:tcBorders>
            <w:vAlign w:val="center"/>
          </w:tcPr>
          <w:p w14:paraId="042481EC">
            <w:pPr>
              <w:snapToGrid w:val="0"/>
              <w:spacing w:line="360" w:lineRule="auto"/>
              <w:jc w:val="center"/>
              <w:rPr>
                <w:rFonts w:ascii="仿宋" w:hAnsi="仿宋" w:eastAsia="仿宋" w:cs="仿宋"/>
                <w:color w:val="auto"/>
                <w:sz w:val="24"/>
                <w:highlight w:val="none"/>
              </w:rPr>
            </w:pPr>
          </w:p>
        </w:tc>
        <w:tc>
          <w:tcPr>
            <w:tcW w:w="2267" w:type="dxa"/>
            <w:tcBorders>
              <w:top w:val="single" w:color="auto" w:sz="4" w:space="0"/>
              <w:left w:val="single" w:color="auto" w:sz="4" w:space="0"/>
              <w:bottom w:val="single" w:color="auto" w:sz="4" w:space="0"/>
              <w:right w:val="single" w:color="auto" w:sz="4" w:space="0"/>
            </w:tcBorders>
            <w:vAlign w:val="center"/>
          </w:tcPr>
          <w:p w14:paraId="55A0AC38">
            <w:pPr>
              <w:spacing w:line="360" w:lineRule="auto"/>
              <w:jc w:val="center"/>
              <w:rPr>
                <w:rFonts w:ascii="仿宋" w:hAnsi="仿宋" w:eastAsia="仿宋" w:cs="仿宋"/>
                <w:color w:val="auto"/>
                <w:sz w:val="24"/>
                <w:highlight w:val="none"/>
              </w:rPr>
            </w:pPr>
          </w:p>
        </w:tc>
        <w:tc>
          <w:tcPr>
            <w:tcW w:w="930" w:type="dxa"/>
            <w:tcBorders>
              <w:top w:val="single" w:color="auto" w:sz="4" w:space="0"/>
              <w:left w:val="single" w:color="auto" w:sz="4" w:space="0"/>
              <w:bottom w:val="single" w:color="auto" w:sz="4" w:space="0"/>
              <w:right w:val="single" w:color="auto" w:sz="4" w:space="0"/>
            </w:tcBorders>
            <w:vAlign w:val="center"/>
          </w:tcPr>
          <w:p w14:paraId="015FB411">
            <w:pPr>
              <w:spacing w:line="360" w:lineRule="auto"/>
              <w:jc w:val="center"/>
              <w:rPr>
                <w:rFonts w:ascii="仿宋" w:hAnsi="仿宋" w:eastAsia="仿宋" w:cs="仿宋"/>
                <w:color w:val="auto"/>
                <w:sz w:val="24"/>
                <w:highlight w:val="none"/>
              </w:rPr>
            </w:pPr>
          </w:p>
        </w:tc>
        <w:tc>
          <w:tcPr>
            <w:tcW w:w="1526" w:type="dxa"/>
            <w:tcBorders>
              <w:top w:val="single" w:color="auto" w:sz="4" w:space="0"/>
              <w:left w:val="single" w:color="auto" w:sz="4" w:space="0"/>
              <w:bottom w:val="single" w:color="auto" w:sz="4" w:space="0"/>
              <w:right w:val="single" w:color="auto" w:sz="4" w:space="0"/>
            </w:tcBorders>
            <w:vAlign w:val="center"/>
          </w:tcPr>
          <w:p w14:paraId="09A28505">
            <w:pPr>
              <w:spacing w:line="360" w:lineRule="auto"/>
              <w:jc w:val="center"/>
              <w:rPr>
                <w:rFonts w:ascii="仿宋" w:hAnsi="仿宋" w:eastAsia="仿宋" w:cs="仿宋"/>
                <w:color w:val="auto"/>
                <w:sz w:val="24"/>
                <w:highlight w:val="none"/>
              </w:rPr>
            </w:pPr>
          </w:p>
        </w:tc>
      </w:tr>
      <w:tr w14:paraId="51561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4B72508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w:t>
            </w:r>
          </w:p>
        </w:tc>
        <w:tc>
          <w:tcPr>
            <w:tcW w:w="1369" w:type="dxa"/>
            <w:tcBorders>
              <w:top w:val="single" w:color="auto" w:sz="4" w:space="0"/>
              <w:left w:val="single" w:color="auto" w:sz="4" w:space="0"/>
              <w:bottom w:val="single" w:color="auto" w:sz="4" w:space="0"/>
              <w:right w:val="single" w:color="auto" w:sz="4" w:space="0"/>
            </w:tcBorders>
            <w:vAlign w:val="center"/>
          </w:tcPr>
          <w:p w14:paraId="0C52E48F">
            <w:pPr>
              <w:snapToGrid w:val="0"/>
              <w:spacing w:line="360" w:lineRule="auto"/>
              <w:jc w:val="center"/>
              <w:rPr>
                <w:rFonts w:ascii="仿宋" w:hAnsi="仿宋" w:eastAsia="仿宋" w:cs="仿宋"/>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E3235">
            <w:pPr>
              <w:snapToGrid w:val="0"/>
              <w:spacing w:line="360" w:lineRule="auto"/>
              <w:jc w:val="center"/>
              <w:rPr>
                <w:rFonts w:ascii="仿宋" w:hAnsi="仿宋" w:eastAsia="仿宋" w:cs="仿宋"/>
                <w:color w:val="auto"/>
                <w:sz w:val="24"/>
                <w:highlight w:val="none"/>
              </w:rPr>
            </w:pPr>
          </w:p>
        </w:tc>
        <w:tc>
          <w:tcPr>
            <w:tcW w:w="1768" w:type="dxa"/>
            <w:tcBorders>
              <w:top w:val="single" w:color="auto" w:sz="4" w:space="0"/>
              <w:left w:val="single" w:color="auto" w:sz="4" w:space="0"/>
              <w:bottom w:val="single" w:color="auto" w:sz="4" w:space="0"/>
              <w:right w:val="single" w:color="auto" w:sz="4" w:space="0"/>
            </w:tcBorders>
            <w:vAlign w:val="center"/>
          </w:tcPr>
          <w:p w14:paraId="2DAD0AD2">
            <w:pPr>
              <w:snapToGrid w:val="0"/>
              <w:spacing w:line="360" w:lineRule="auto"/>
              <w:jc w:val="center"/>
              <w:rPr>
                <w:rFonts w:ascii="仿宋" w:hAnsi="仿宋" w:eastAsia="仿宋" w:cs="仿宋"/>
                <w:color w:val="auto"/>
                <w:sz w:val="24"/>
                <w:highlight w:val="none"/>
              </w:rPr>
            </w:pPr>
          </w:p>
        </w:tc>
        <w:tc>
          <w:tcPr>
            <w:tcW w:w="2267" w:type="dxa"/>
            <w:tcBorders>
              <w:top w:val="single" w:color="auto" w:sz="4" w:space="0"/>
              <w:left w:val="single" w:color="auto" w:sz="4" w:space="0"/>
              <w:bottom w:val="single" w:color="auto" w:sz="4" w:space="0"/>
              <w:right w:val="single" w:color="auto" w:sz="4" w:space="0"/>
            </w:tcBorders>
            <w:vAlign w:val="center"/>
          </w:tcPr>
          <w:p w14:paraId="308F3E58">
            <w:pPr>
              <w:spacing w:line="360" w:lineRule="auto"/>
              <w:jc w:val="center"/>
              <w:rPr>
                <w:rFonts w:ascii="仿宋" w:hAnsi="仿宋" w:eastAsia="仿宋" w:cs="仿宋"/>
                <w:color w:val="auto"/>
                <w:sz w:val="24"/>
                <w:highlight w:val="none"/>
              </w:rPr>
            </w:pPr>
          </w:p>
        </w:tc>
        <w:tc>
          <w:tcPr>
            <w:tcW w:w="930" w:type="dxa"/>
            <w:tcBorders>
              <w:top w:val="single" w:color="auto" w:sz="4" w:space="0"/>
              <w:left w:val="single" w:color="auto" w:sz="4" w:space="0"/>
              <w:bottom w:val="single" w:color="auto" w:sz="4" w:space="0"/>
              <w:right w:val="single" w:color="auto" w:sz="4" w:space="0"/>
            </w:tcBorders>
            <w:vAlign w:val="center"/>
          </w:tcPr>
          <w:p w14:paraId="76F7D578">
            <w:pPr>
              <w:spacing w:line="360" w:lineRule="auto"/>
              <w:jc w:val="center"/>
              <w:rPr>
                <w:rFonts w:ascii="仿宋" w:hAnsi="仿宋" w:eastAsia="仿宋" w:cs="仿宋"/>
                <w:color w:val="auto"/>
                <w:sz w:val="24"/>
                <w:highlight w:val="none"/>
              </w:rPr>
            </w:pPr>
          </w:p>
        </w:tc>
        <w:tc>
          <w:tcPr>
            <w:tcW w:w="1526" w:type="dxa"/>
            <w:tcBorders>
              <w:top w:val="single" w:color="auto" w:sz="4" w:space="0"/>
              <w:left w:val="single" w:color="auto" w:sz="4" w:space="0"/>
              <w:bottom w:val="single" w:color="auto" w:sz="4" w:space="0"/>
              <w:right w:val="single" w:color="auto" w:sz="4" w:space="0"/>
            </w:tcBorders>
            <w:vAlign w:val="center"/>
          </w:tcPr>
          <w:p w14:paraId="2BC32673">
            <w:pPr>
              <w:spacing w:line="360" w:lineRule="auto"/>
              <w:jc w:val="center"/>
              <w:rPr>
                <w:rFonts w:ascii="仿宋" w:hAnsi="仿宋" w:eastAsia="仿宋" w:cs="仿宋"/>
                <w:color w:val="auto"/>
                <w:sz w:val="24"/>
                <w:highlight w:val="none"/>
              </w:rPr>
            </w:pPr>
          </w:p>
        </w:tc>
      </w:tr>
    </w:tbl>
    <w:p w14:paraId="4D12EFCB">
      <w:pPr>
        <w:spacing w:line="360" w:lineRule="auto"/>
        <w:ind w:right="420"/>
        <w:rPr>
          <w:rFonts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43DEF3D0">
      <w:pPr>
        <w:jc w:val="center"/>
        <w:rPr>
          <w:rFonts w:ascii="仿宋" w:hAnsi="仿宋" w:eastAsia="仿宋" w:cs="仿宋"/>
          <w:b/>
          <w:color w:val="auto"/>
          <w:kern w:val="0"/>
          <w:sz w:val="32"/>
          <w:szCs w:val="32"/>
          <w:highlight w:val="none"/>
        </w:rPr>
      </w:pPr>
    </w:p>
    <w:p w14:paraId="31FE4090">
      <w:pPr>
        <w:jc w:val="center"/>
        <w:rPr>
          <w:rFonts w:ascii="仿宋" w:hAnsi="仿宋" w:eastAsia="仿宋" w:cs="仿宋"/>
          <w:b/>
          <w:color w:val="auto"/>
          <w:kern w:val="0"/>
          <w:sz w:val="32"/>
          <w:szCs w:val="32"/>
          <w:highlight w:val="none"/>
        </w:rPr>
      </w:pPr>
    </w:p>
    <w:p w14:paraId="066F5185">
      <w:pPr>
        <w:jc w:val="center"/>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六、商务技术偏离表</w:t>
      </w:r>
    </w:p>
    <w:tbl>
      <w:tblPr>
        <w:tblStyle w:val="62"/>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3"/>
        <w:gridCol w:w="3546"/>
        <w:gridCol w:w="1276"/>
      </w:tblGrid>
      <w:tr w14:paraId="35338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69F3CEA2">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3683" w:type="dxa"/>
          </w:tcPr>
          <w:p w14:paraId="3065DC62">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交易文件章节及具体内容</w:t>
            </w:r>
          </w:p>
        </w:tc>
        <w:tc>
          <w:tcPr>
            <w:tcW w:w="3546" w:type="dxa"/>
          </w:tcPr>
          <w:p w14:paraId="65E63E66">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响应文件章节及具体内容</w:t>
            </w:r>
          </w:p>
        </w:tc>
        <w:tc>
          <w:tcPr>
            <w:tcW w:w="1276" w:type="dxa"/>
          </w:tcPr>
          <w:p w14:paraId="10B81769">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偏离说明</w:t>
            </w:r>
          </w:p>
        </w:tc>
      </w:tr>
      <w:tr w14:paraId="12EE0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5EC6A340">
            <w:pPr>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w:t>
            </w:r>
          </w:p>
        </w:tc>
        <w:tc>
          <w:tcPr>
            <w:tcW w:w="3683" w:type="dxa"/>
          </w:tcPr>
          <w:p w14:paraId="1B33B859">
            <w:pPr>
              <w:jc w:val="center"/>
              <w:rPr>
                <w:rFonts w:ascii="仿宋" w:hAnsi="仿宋" w:eastAsia="仿宋" w:cs="仿宋"/>
                <w:b/>
                <w:color w:val="auto"/>
                <w:kern w:val="0"/>
                <w:sz w:val="32"/>
                <w:szCs w:val="32"/>
                <w:highlight w:val="none"/>
              </w:rPr>
            </w:pPr>
          </w:p>
        </w:tc>
        <w:tc>
          <w:tcPr>
            <w:tcW w:w="3546" w:type="dxa"/>
          </w:tcPr>
          <w:p w14:paraId="55BF699B">
            <w:pPr>
              <w:jc w:val="center"/>
              <w:rPr>
                <w:rFonts w:ascii="仿宋" w:hAnsi="仿宋" w:eastAsia="仿宋" w:cs="仿宋"/>
                <w:b/>
                <w:color w:val="auto"/>
                <w:kern w:val="0"/>
                <w:sz w:val="32"/>
                <w:szCs w:val="32"/>
                <w:highlight w:val="none"/>
              </w:rPr>
            </w:pPr>
          </w:p>
        </w:tc>
        <w:tc>
          <w:tcPr>
            <w:tcW w:w="1276" w:type="dxa"/>
          </w:tcPr>
          <w:p w14:paraId="459E9ED8">
            <w:pPr>
              <w:jc w:val="center"/>
              <w:rPr>
                <w:rFonts w:ascii="仿宋" w:hAnsi="仿宋" w:eastAsia="仿宋" w:cs="仿宋"/>
                <w:b/>
                <w:color w:val="auto"/>
                <w:kern w:val="0"/>
                <w:sz w:val="32"/>
                <w:szCs w:val="32"/>
                <w:highlight w:val="none"/>
              </w:rPr>
            </w:pPr>
          </w:p>
        </w:tc>
      </w:tr>
      <w:tr w14:paraId="4A974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518F62BD">
            <w:pPr>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w:t>
            </w:r>
          </w:p>
        </w:tc>
        <w:tc>
          <w:tcPr>
            <w:tcW w:w="3683" w:type="dxa"/>
          </w:tcPr>
          <w:p w14:paraId="5068D4C3">
            <w:pPr>
              <w:jc w:val="center"/>
              <w:rPr>
                <w:rFonts w:ascii="仿宋" w:hAnsi="仿宋" w:eastAsia="仿宋" w:cs="仿宋"/>
                <w:b/>
                <w:color w:val="auto"/>
                <w:kern w:val="0"/>
                <w:sz w:val="32"/>
                <w:szCs w:val="32"/>
                <w:highlight w:val="none"/>
              </w:rPr>
            </w:pPr>
          </w:p>
        </w:tc>
        <w:tc>
          <w:tcPr>
            <w:tcW w:w="3546" w:type="dxa"/>
          </w:tcPr>
          <w:p w14:paraId="5838728B">
            <w:pPr>
              <w:jc w:val="center"/>
              <w:rPr>
                <w:rFonts w:ascii="仿宋" w:hAnsi="仿宋" w:eastAsia="仿宋" w:cs="仿宋"/>
                <w:b/>
                <w:color w:val="auto"/>
                <w:kern w:val="0"/>
                <w:sz w:val="32"/>
                <w:szCs w:val="32"/>
                <w:highlight w:val="none"/>
              </w:rPr>
            </w:pPr>
          </w:p>
        </w:tc>
        <w:tc>
          <w:tcPr>
            <w:tcW w:w="1276" w:type="dxa"/>
          </w:tcPr>
          <w:p w14:paraId="779C5098">
            <w:pPr>
              <w:jc w:val="center"/>
              <w:rPr>
                <w:rFonts w:ascii="仿宋" w:hAnsi="仿宋" w:eastAsia="仿宋" w:cs="仿宋"/>
                <w:b/>
                <w:color w:val="auto"/>
                <w:kern w:val="0"/>
                <w:sz w:val="32"/>
                <w:szCs w:val="32"/>
                <w:highlight w:val="none"/>
              </w:rPr>
            </w:pPr>
          </w:p>
        </w:tc>
      </w:tr>
      <w:tr w14:paraId="57DB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04714A2">
            <w:pPr>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tc>
        <w:tc>
          <w:tcPr>
            <w:tcW w:w="3683" w:type="dxa"/>
          </w:tcPr>
          <w:p w14:paraId="503AAA2A">
            <w:pPr>
              <w:jc w:val="center"/>
              <w:rPr>
                <w:rFonts w:ascii="仿宋" w:hAnsi="仿宋" w:eastAsia="仿宋" w:cs="仿宋"/>
                <w:b/>
                <w:color w:val="auto"/>
                <w:kern w:val="0"/>
                <w:sz w:val="32"/>
                <w:szCs w:val="32"/>
                <w:highlight w:val="none"/>
              </w:rPr>
            </w:pPr>
          </w:p>
        </w:tc>
        <w:tc>
          <w:tcPr>
            <w:tcW w:w="3546" w:type="dxa"/>
          </w:tcPr>
          <w:p w14:paraId="157470A1">
            <w:pPr>
              <w:jc w:val="center"/>
              <w:rPr>
                <w:rFonts w:ascii="仿宋" w:hAnsi="仿宋" w:eastAsia="仿宋" w:cs="仿宋"/>
                <w:b/>
                <w:color w:val="auto"/>
                <w:kern w:val="0"/>
                <w:sz w:val="32"/>
                <w:szCs w:val="32"/>
                <w:highlight w:val="none"/>
              </w:rPr>
            </w:pPr>
          </w:p>
        </w:tc>
        <w:tc>
          <w:tcPr>
            <w:tcW w:w="1276" w:type="dxa"/>
          </w:tcPr>
          <w:p w14:paraId="108DA318">
            <w:pPr>
              <w:jc w:val="center"/>
              <w:rPr>
                <w:rFonts w:ascii="仿宋" w:hAnsi="仿宋" w:eastAsia="仿宋" w:cs="仿宋"/>
                <w:b/>
                <w:color w:val="auto"/>
                <w:kern w:val="0"/>
                <w:sz w:val="32"/>
                <w:szCs w:val="32"/>
                <w:highlight w:val="none"/>
              </w:rPr>
            </w:pPr>
          </w:p>
        </w:tc>
      </w:tr>
    </w:tbl>
    <w:p w14:paraId="10A0EB3B">
      <w:pPr>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供应商保证：除商务技术偏离表列出的偏离外，供应商响应交易文件的全部要求</w:t>
      </w:r>
    </w:p>
    <w:p w14:paraId="64701AA7">
      <w:pPr>
        <w:jc w:val="center"/>
        <w:rPr>
          <w:rFonts w:ascii="仿宋" w:hAnsi="仿宋" w:eastAsia="仿宋" w:cs="仿宋"/>
          <w:b/>
          <w:color w:val="auto"/>
          <w:kern w:val="0"/>
          <w:sz w:val="32"/>
          <w:szCs w:val="32"/>
          <w:highlight w:val="none"/>
        </w:rPr>
      </w:pPr>
    </w:p>
    <w:p w14:paraId="0F54CA0A">
      <w:pPr>
        <w:spacing w:line="360" w:lineRule="auto"/>
        <w:ind w:right="420"/>
        <w:rPr>
          <w:rFonts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6E6EF020">
      <w:pPr>
        <w:jc w:val="center"/>
        <w:rPr>
          <w:rFonts w:ascii="仿宋" w:hAnsi="仿宋" w:eastAsia="仿宋" w:cs="仿宋"/>
          <w:b/>
          <w:color w:val="auto"/>
          <w:kern w:val="0"/>
          <w:sz w:val="32"/>
          <w:szCs w:val="32"/>
          <w:highlight w:val="none"/>
        </w:rPr>
      </w:pPr>
    </w:p>
    <w:p w14:paraId="00BAB677">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r>
    </w:p>
    <w:p w14:paraId="1D585F37">
      <w:pPr>
        <w:jc w:val="center"/>
        <w:rPr>
          <w:rFonts w:ascii="仿宋" w:hAnsi="仿宋" w:eastAsia="仿宋" w:cs="仿宋"/>
          <w:b/>
          <w:color w:val="auto"/>
          <w:kern w:val="0"/>
          <w:sz w:val="32"/>
          <w:szCs w:val="32"/>
          <w:highlight w:val="none"/>
        </w:rPr>
      </w:pPr>
      <w:r>
        <w:rPr>
          <w:rFonts w:hint="eastAsia" w:ascii="仿宋" w:hAnsi="仿宋" w:eastAsia="仿宋" w:cs="仿宋"/>
          <w:b/>
          <w:bCs/>
          <w:color w:val="auto"/>
          <w:sz w:val="32"/>
          <w:szCs w:val="32"/>
          <w:highlight w:val="none"/>
        </w:rPr>
        <w:t>七</w:t>
      </w:r>
      <w:r>
        <w:rPr>
          <w:rFonts w:hint="eastAsia" w:ascii="仿宋" w:hAnsi="仿宋" w:eastAsia="仿宋" w:cs="仿宋"/>
          <w:b/>
          <w:color w:val="auto"/>
          <w:kern w:val="0"/>
          <w:sz w:val="32"/>
          <w:szCs w:val="32"/>
          <w:highlight w:val="none"/>
        </w:rPr>
        <w:t>、</w:t>
      </w:r>
      <w:r>
        <w:rPr>
          <w:rFonts w:hint="eastAsia" w:ascii="仿宋" w:hAnsi="仿宋" w:eastAsia="仿宋" w:cs="仿宋"/>
          <w:b/>
          <w:color w:val="auto"/>
          <w:kern w:val="0"/>
          <w:sz w:val="32"/>
          <w:szCs w:val="32"/>
          <w:highlight w:val="none"/>
          <w:lang w:val="zh-CN"/>
        </w:rPr>
        <w:t>采购供应商廉洁自律承诺书</w:t>
      </w:r>
    </w:p>
    <w:p w14:paraId="4A7255F3">
      <w:pPr>
        <w:snapToGrid w:val="0"/>
        <w:spacing w:line="360" w:lineRule="auto"/>
        <w:rPr>
          <w:rFonts w:ascii="仿宋" w:hAnsi="仿宋" w:eastAsia="仿宋" w:cs="仿宋"/>
          <w:color w:val="auto"/>
          <w:sz w:val="24"/>
          <w:highlight w:val="none"/>
        </w:rPr>
      </w:pPr>
    </w:p>
    <w:p w14:paraId="6AE4A872">
      <w:pPr>
        <w:snapToGrid w:val="0"/>
        <w:spacing w:line="360" w:lineRule="auto"/>
        <w:rPr>
          <w:rFonts w:ascii="仿宋" w:hAnsi="仿宋" w:eastAsia="仿宋" w:cs="仿宋"/>
          <w:color w:val="auto"/>
          <w:kern w:val="0"/>
          <w:sz w:val="24"/>
          <w:highlight w:val="none"/>
        </w:rPr>
      </w:pPr>
      <w:r>
        <w:rPr>
          <w:rFonts w:hint="eastAsia" w:ascii="仿宋" w:hAnsi="仿宋" w:eastAsia="仿宋" w:cs="仿宋"/>
          <w:color w:val="auto"/>
          <w:sz w:val="24"/>
          <w:highlight w:val="none"/>
          <w:u w:val="single"/>
        </w:rPr>
        <w:t>（交易发起人）、（采购代理机构）</w:t>
      </w:r>
      <w:r>
        <w:rPr>
          <w:rFonts w:hint="eastAsia" w:ascii="仿宋" w:hAnsi="仿宋" w:eastAsia="仿宋" w:cs="仿宋"/>
          <w:color w:val="auto"/>
          <w:kern w:val="0"/>
          <w:sz w:val="24"/>
          <w:highlight w:val="none"/>
          <w:lang w:val="zh-CN"/>
        </w:rPr>
        <w:t>：</w:t>
      </w:r>
    </w:p>
    <w:p w14:paraId="7A5F980A">
      <w:pPr>
        <w:autoSpaceDE w:val="0"/>
        <w:autoSpaceDN w:val="0"/>
        <w:spacing w:line="360" w:lineRule="auto"/>
        <w:ind w:left="2" w:leftChars="1"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我单位响应你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项目</w:t>
      </w:r>
      <w:r>
        <w:rPr>
          <w:rFonts w:hint="eastAsia" w:ascii="仿宋" w:hAnsi="仿宋" w:eastAsia="仿宋" w:cs="仿宋"/>
          <w:color w:val="auto"/>
          <w:kern w:val="0"/>
          <w:sz w:val="24"/>
          <w:highlight w:val="none"/>
        </w:rPr>
        <w:t>交易</w:t>
      </w:r>
      <w:r>
        <w:rPr>
          <w:rFonts w:hint="eastAsia" w:ascii="仿宋" w:hAnsi="仿宋" w:eastAsia="仿宋" w:cs="仿宋"/>
          <w:color w:val="auto"/>
          <w:kern w:val="0"/>
          <w:sz w:val="24"/>
          <w:highlight w:val="none"/>
          <w:lang w:val="zh-CN"/>
        </w:rPr>
        <w:t>要求参加</w:t>
      </w:r>
      <w:r>
        <w:rPr>
          <w:rFonts w:hint="eastAsia" w:ascii="仿宋" w:hAnsi="仿宋" w:eastAsia="仿宋" w:cs="仿宋"/>
          <w:color w:val="auto"/>
          <w:kern w:val="0"/>
          <w:sz w:val="24"/>
          <w:highlight w:val="none"/>
        </w:rPr>
        <w:t>交易</w:t>
      </w:r>
      <w:r>
        <w:rPr>
          <w:rFonts w:hint="eastAsia" w:ascii="仿宋" w:hAnsi="仿宋" w:eastAsia="仿宋" w:cs="仿宋"/>
          <w:color w:val="auto"/>
          <w:kern w:val="0"/>
          <w:sz w:val="24"/>
          <w:highlight w:val="none"/>
          <w:lang w:val="zh-CN"/>
        </w:rPr>
        <w:t>。在这次</w:t>
      </w:r>
      <w:r>
        <w:rPr>
          <w:rFonts w:hint="eastAsia" w:ascii="仿宋" w:hAnsi="仿宋" w:eastAsia="仿宋" w:cs="仿宋"/>
          <w:color w:val="auto"/>
          <w:kern w:val="0"/>
          <w:sz w:val="24"/>
          <w:highlight w:val="none"/>
        </w:rPr>
        <w:t>交易</w:t>
      </w:r>
      <w:r>
        <w:rPr>
          <w:rFonts w:hint="eastAsia" w:ascii="仿宋" w:hAnsi="仿宋" w:eastAsia="仿宋" w:cs="仿宋"/>
          <w:color w:val="auto"/>
          <w:kern w:val="0"/>
          <w:sz w:val="24"/>
          <w:highlight w:val="none"/>
          <w:lang w:val="zh-CN"/>
        </w:rPr>
        <w:t>过程中和成交后，我们将严格遵守国家法律法规要求，并郑重承诺：</w:t>
      </w:r>
    </w:p>
    <w:p w14:paraId="3289F8FA">
      <w:pPr>
        <w:autoSpaceDE w:val="0"/>
        <w:autoSpaceDN w:val="0"/>
        <w:spacing w:line="360" w:lineRule="auto"/>
        <w:ind w:left="2" w:leftChars="1"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一、不向项目有关人员及部门赠送礼金礼物、有价证券、回扣以及中介费、介绍费、咨询费等好处费； </w:t>
      </w:r>
    </w:p>
    <w:p w14:paraId="76D95AD9">
      <w:pPr>
        <w:autoSpaceDE w:val="0"/>
        <w:autoSpaceDN w:val="0"/>
        <w:spacing w:line="360" w:lineRule="auto"/>
        <w:ind w:left="2" w:leftChars="1"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二、不为项目有关人员及部门报销应由你方单位或个人支付的费用； </w:t>
      </w:r>
    </w:p>
    <w:p w14:paraId="48C7949D">
      <w:pPr>
        <w:autoSpaceDE w:val="0"/>
        <w:autoSpaceDN w:val="0"/>
        <w:spacing w:line="360" w:lineRule="auto"/>
        <w:ind w:left="2" w:leftChars="1"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三、不向项目有关人员及部门提供有可能影响公正的宴请和健身娱乐等活动； </w:t>
      </w:r>
    </w:p>
    <w:p w14:paraId="0B0F788B">
      <w:pPr>
        <w:autoSpaceDE w:val="0"/>
        <w:autoSpaceDN w:val="0"/>
        <w:spacing w:line="360" w:lineRule="auto"/>
        <w:ind w:left="2" w:leftChars="1"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四、不为项目有关人员及部门出国（境）、旅游等提供方便；</w:t>
      </w:r>
    </w:p>
    <w:p w14:paraId="7D3A4594">
      <w:pPr>
        <w:autoSpaceDE w:val="0"/>
        <w:autoSpaceDN w:val="0"/>
        <w:spacing w:line="360" w:lineRule="auto"/>
        <w:ind w:left="481" w:leftChars="229"/>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五、不为项目有关人员个人装修住房、婚丧嫁娶、配偶子女工作安排等提供</w:t>
      </w:r>
    </w:p>
    <w:p w14:paraId="383D7DF8">
      <w:pPr>
        <w:autoSpaceDE w:val="0"/>
        <w:autoSpaceDN w:val="0"/>
        <w:spacing w:line="360" w:lineRule="auto"/>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好处；</w:t>
      </w:r>
    </w:p>
    <w:p w14:paraId="1D61AD76">
      <w:pPr>
        <w:autoSpaceDE w:val="0"/>
        <w:autoSpaceDN w:val="0"/>
        <w:spacing w:line="360" w:lineRule="auto"/>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六、严格遵守相关法律法规，诚实守信，合法经营，坚决抵制各种违法违纪行为。 </w:t>
      </w:r>
    </w:p>
    <w:p w14:paraId="68C6F50B">
      <w:pPr>
        <w:autoSpaceDE w:val="0"/>
        <w:autoSpaceDN w:val="0"/>
        <w:spacing w:line="360" w:lineRule="auto"/>
        <w:ind w:firstLine="480" w:firstLineChars="2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如违反上述承诺，你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有权立即取消我单位</w:t>
      </w:r>
      <w:r>
        <w:rPr>
          <w:rFonts w:hint="eastAsia" w:ascii="仿宋" w:hAnsi="仿宋" w:eastAsia="仿宋" w:cs="仿宋"/>
          <w:color w:val="auto"/>
          <w:kern w:val="0"/>
          <w:sz w:val="24"/>
          <w:highlight w:val="none"/>
        </w:rPr>
        <w:t>交易</w:t>
      </w:r>
      <w:r>
        <w:rPr>
          <w:rFonts w:hint="eastAsia" w:ascii="仿宋" w:hAnsi="仿宋" w:eastAsia="仿宋" w:cs="仿宋"/>
          <w:color w:val="auto"/>
          <w:kern w:val="0"/>
          <w:sz w:val="24"/>
          <w:highlight w:val="none"/>
          <w:lang w:val="zh-CN"/>
        </w:rPr>
        <w:t>、成交或在建项目的建设资格，有权拒绝我单位在一定时期内进入你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进行项目建设或其他经营活动，并通报市财政局。由此引起的相应损失均由我单位承担。</w:t>
      </w:r>
    </w:p>
    <w:p w14:paraId="56D22DF8">
      <w:pPr>
        <w:autoSpaceDE w:val="0"/>
        <w:autoSpaceDN w:val="0"/>
        <w:spacing w:line="360" w:lineRule="auto"/>
        <w:jc w:val="left"/>
        <w:rPr>
          <w:rFonts w:ascii="仿宋" w:hAnsi="仿宋" w:eastAsia="仿宋" w:cs="仿宋"/>
          <w:color w:val="auto"/>
          <w:kern w:val="0"/>
          <w:sz w:val="24"/>
          <w:highlight w:val="none"/>
          <w:lang w:val="zh-CN"/>
        </w:rPr>
      </w:pPr>
    </w:p>
    <w:p w14:paraId="46EACD13">
      <w:pPr>
        <w:autoSpaceDE w:val="0"/>
        <w:autoSpaceDN w:val="0"/>
        <w:spacing w:line="360" w:lineRule="auto"/>
        <w:ind w:left="2"/>
        <w:jc w:val="left"/>
        <w:rPr>
          <w:rFonts w:ascii="仿宋" w:hAnsi="仿宋" w:eastAsia="仿宋" w:cs="仿宋"/>
          <w:color w:val="auto"/>
          <w:kern w:val="0"/>
          <w:sz w:val="24"/>
          <w:highlight w:val="none"/>
          <w:lang w:val="zh-CN"/>
        </w:rPr>
      </w:pPr>
    </w:p>
    <w:p w14:paraId="48028298">
      <w:pPr>
        <w:autoSpaceDE w:val="0"/>
        <w:autoSpaceDN w:val="0"/>
        <w:spacing w:line="360" w:lineRule="auto"/>
        <w:ind w:left="2" w:leftChars="1" w:right="1120" w:firstLine="4560" w:firstLineChars="1900"/>
        <w:jc w:val="left"/>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供应商名称（</w:t>
      </w:r>
      <w:r>
        <w:rPr>
          <w:rFonts w:hint="eastAsia" w:ascii="仿宋" w:hAnsi="仿宋" w:eastAsia="仿宋" w:cs="仿宋"/>
          <w:color w:val="auto"/>
          <w:sz w:val="24"/>
          <w:highlight w:val="none"/>
        </w:rPr>
        <w:t>电子签名</w:t>
      </w:r>
      <w:r>
        <w:rPr>
          <w:rFonts w:hint="eastAsia" w:ascii="仿宋" w:hAnsi="仿宋" w:eastAsia="仿宋" w:cs="仿宋"/>
          <w:color w:val="auto"/>
          <w:kern w:val="0"/>
          <w:sz w:val="24"/>
          <w:highlight w:val="none"/>
          <w:lang w:val="zh-CN"/>
        </w:rPr>
        <w:t xml:space="preserve">）：                                                                                                                                                                                                               </w:t>
      </w:r>
    </w:p>
    <w:p w14:paraId="47476882">
      <w:pPr>
        <w:spacing w:line="360" w:lineRule="auto"/>
        <w:ind w:left="4620" w:leftChars="2200"/>
        <w:rPr>
          <w:rFonts w:ascii="仿宋" w:hAnsi="仿宋" w:eastAsia="仿宋" w:cs="仿宋"/>
          <w:color w:val="auto"/>
          <w:sz w:val="24"/>
          <w:highlight w:val="none"/>
        </w:rPr>
      </w:pPr>
      <w:r>
        <w:rPr>
          <w:rFonts w:hint="eastAsia" w:ascii="仿宋" w:hAnsi="仿宋" w:eastAsia="仿宋" w:cs="仿宋"/>
          <w:color w:val="auto"/>
          <w:kern w:val="0"/>
          <w:sz w:val="24"/>
          <w:highlight w:val="none"/>
          <w:lang w:val="zh-CN"/>
        </w:rPr>
        <w:t>日期</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zh-CN"/>
        </w:rPr>
        <w:t xml:space="preserve">   年   月   日</w:t>
      </w:r>
    </w:p>
    <w:p w14:paraId="40CD04B8">
      <w:pPr>
        <w:spacing w:line="360" w:lineRule="auto"/>
        <w:jc w:val="center"/>
        <w:rPr>
          <w:rFonts w:ascii="仿宋" w:hAnsi="仿宋" w:eastAsia="仿宋" w:cs="仿宋"/>
          <w:b/>
          <w:bCs/>
          <w:color w:val="auto"/>
          <w:sz w:val="24"/>
          <w:highlight w:val="none"/>
        </w:rPr>
      </w:pPr>
    </w:p>
    <w:p w14:paraId="7EE5C295">
      <w:pPr>
        <w:spacing w:line="360" w:lineRule="auto"/>
        <w:ind w:right="420"/>
        <w:rPr>
          <w:rFonts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5E28C5D1">
      <w:pPr>
        <w:spacing w:line="360" w:lineRule="auto"/>
        <w:jc w:val="center"/>
        <w:rPr>
          <w:rFonts w:ascii="仿宋" w:hAnsi="仿宋" w:eastAsia="仿宋" w:cs="仿宋"/>
          <w:b/>
          <w:bCs/>
          <w:color w:val="auto"/>
          <w:sz w:val="24"/>
          <w:highlight w:val="none"/>
        </w:rPr>
        <w:sectPr>
          <w:headerReference r:id="rId4" w:type="first"/>
          <w:footerReference r:id="rId6" w:type="first"/>
          <w:headerReference r:id="rId3" w:type="default"/>
          <w:footerReference r:id="rId5" w:type="default"/>
          <w:pgSz w:w="11906" w:h="16838"/>
          <w:pgMar w:top="1276" w:right="1418" w:bottom="1247" w:left="1418" w:header="851" w:footer="992" w:gutter="0"/>
          <w:cols w:space="720" w:num="1"/>
          <w:titlePg/>
          <w:docGrid w:linePitch="312" w:charSpace="0"/>
        </w:sectPr>
      </w:pPr>
    </w:p>
    <w:p w14:paraId="6D8D2365">
      <w:pPr>
        <w:spacing w:line="360" w:lineRule="auto"/>
        <w:jc w:val="center"/>
        <w:outlineLvl w:val="0"/>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报价文件部分</w:t>
      </w:r>
    </w:p>
    <w:p w14:paraId="1F0D46EE">
      <w:pPr>
        <w:spacing w:line="360" w:lineRule="auto"/>
        <w:jc w:val="center"/>
        <w:outlineLvl w:val="0"/>
        <w:rPr>
          <w:rFonts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目录</w:t>
      </w:r>
    </w:p>
    <w:p w14:paraId="3A051F02">
      <w:pPr>
        <w:spacing w:line="360" w:lineRule="auto"/>
        <w:jc w:val="center"/>
        <w:outlineLvl w:val="0"/>
        <w:rPr>
          <w:rFonts w:ascii="仿宋" w:hAnsi="仿宋" w:eastAsia="仿宋" w:cs="仿宋"/>
          <w:b/>
          <w:color w:val="auto"/>
          <w:kern w:val="0"/>
          <w:sz w:val="36"/>
          <w:szCs w:val="36"/>
          <w:highlight w:val="none"/>
        </w:rPr>
      </w:pPr>
    </w:p>
    <w:p w14:paraId="64D35265">
      <w:pPr>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（1）交易一览表（报价表）………………………………………………………（页码）</w:t>
      </w:r>
    </w:p>
    <w:p w14:paraId="79034BB9">
      <w:pPr>
        <w:snapToGrid w:val="0"/>
        <w:spacing w:line="360" w:lineRule="auto"/>
        <w:ind w:right="480"/>
        <w:jc w:val="center"/>
        <w:rPr>
          <w:rFonts w:ascii="仿宋" w:hAnsi="仿宋" w:eastAsia="仿宋" w:cs="仿宋"/>
          <w:b/>
          <w:color w:val="auto"/>
          <w:kern w:val="0"/>
          <w:sz w:val="32"/>
          <w:szCs w:val="32"/>
          <w:highlight w:val="none"/>
        </w:rPr>
      </w:pPr>
    </w:p>
    <w:p w14:paraId="6AA96759">
      <w:pPr>
        <w:snapToGrid w:val="0"/>
        <w:spacing w:line="360" w:lineRule="auto"/>
        <w:ind w:right="480"/>
        <w:jc w:val="center"/>
        <w:rPr>
          <w:rFonts w:ascii="仿宋" w:hAnsi="仿宋" w:eastAsia="仿宋" w:cs="仿宋"/>
          <w:b/>
          <w:color w:val="auto"/>
          <w:kern w:val="0"/>
          <w:sz w:val="32"/>
          <w:szCs w:val="32"/>
          <w:highlight w:val="none"/>
        </w:rPr>
      </w:pPr>
    </w:p>
    <w:p w14:paraId="709A3D06">
      <w:pPr>
        <w:snapToGrid w:val="0"/>
        <w:spacing w:line="360" w:lineRule="auto"/>
        <w:ind w:right="480"/>
        <w:jc w:val="center"/>
        <w:rPr>
          <w:rFonts w:ascii="仿宋" w:hAnsi="仿宋" w:eastAsia="仿宋" w:cs="仿宋"/>
          <w:b/>
          <w:color w:val="auto"/>
          <w:kern w:val="0"/>
          <w:sz w:val="32"/>
          <w:szCs w:val="32"/>
          <w:highlight w:val="none"/>
        </w:rPr>
      </w:pPr>
    </w:p>
    <w:p w14:paraId="71750FB6">
      <w:pPr>
        <w:snapToGrid w:val="0"/>
        <w:spacing w:line="360" w:lineRule="auto"/>
        <w:ind w:right="480"/>
        <w:jc w:val="center"/>
        <w:rPr>
          <w:rFonts w:ascii="仿宋" w:hAnsi="仿宋" w:eastAsia="仿宋" w:cs="仿宋"/>
          <w:b/>
          <w:color w:val="auto"/>
          <w:kern w:val="0"/>
          <w:sz w:val="32"/>
          <w:szCs w:val="32"/>
          <w:highlight w:val="none"/>
        </w:rPr>
      </w:pPr>
    </w:p>
    <w:p w14:paraId="0D0CA8F4">
      <w:pPr>
        <w:snapToGrid w:val="0"/>
        <w:spacing w:line="360" w:lineRule="auto"/>
        <w:ind w:right="480"/>
        <w:jc w:val="center"/>
        <w:rPr>
          <w:rFonts w:ascii="仿宋" w:hAnsi="仿宋" w:eastAsia="仿宋" w:cs="仿宋"/>
          <w:b/>
          <w:color w:val="auto"/>
          <w:kern w:val="0"/>
          <w:sz w:val="32"/>
          <w:szCs w:val="32"/>
          <w:highlight w:val="none"/>
        </w:rPr>
      </w:pPr>
    </w:p>
    <w:p w14:paraId="5240BDC0">
      <w:pPr>
        <w:snapToGrid w:val="0"/>
        <w:spacing w:line="360" w:lineRule="auto"/>
        <w:ind w:right="480"/>
        <w:jc w:val="center"/>
        <w:rPr>
          <w:rFonts w:ascii="仿宋" w:hAnsi="仿宋" w:eastAsia="仿宋" w:cs="仿宋"/>
          <w:b/>
          <w:color w:val="auto"/>
          <w:kern w:val="0"/>
          <w:sz w:val="32"/>
          <w:szCs w:val="32"/>
          <w:highlight w:val="none"/>
        </w:rPr>
      </w:pPr>
    </w:p>
    <w:p w14:paraId="0B3FE308">
      <w:pPr>
        <w:snapToGrid w:val="0"/>
        <w:spacing w:line="360" w:lineRule="auto"/>
        <w:ind w:right="480"/>
        <w:jc w:val="center"/>
        <w:rPr>
          <w:rFonts w:ascii="仿宋" w:hAnsi="仿宋" w:eastAsia="仿宋" w:cs="仿宋"/>
          <w:b/>
          <w:color w:val="auto"/>
          <w:kern w:val="0"/>
          <w:sz w:val="32"/>
          <w:szCs w:val="32"/>
          <w:highlight w:val="none"/>
        </w:rPr>
      </w:pPr>
    </w:p>
    <w:p w14:paraId="0D45B7FD">
      <w:pPr>
        <w:snapToGrid w:val="0"/>
        <w:spacing w:line="360" w:lineRule="auto"/>
        <w:ind w:right="480"/>
        <w:jc w:val="center"/>
        <w:rPr>
          <w:rFonts w:ascii="仿宋" w:hAnsi="仿宋" w:eastAsia="仿宋" w:cs="仿宋"/>
          <w:b/>
          <w:color w:val="auto"/>
          <w:kern w:val="0"/>
          <w:sz w:val="32"/>
          <w:szCs w:val="32"/>
          <w:highlight w:val="none"/>
        </w:rPr>
      </w:pPr>
    </w:p>
    <w:p w14:paraId="7FB75547">
      <w:pPr>
        <w:snapToGrid w:val="0"/>
        <w:spacing w:line="360" w:lineRule="auto"/>
        <w:ind w:right="480"/>
        <w:jc w:val="center"/>
        <w:rPr>
          <w:rFonts w:ascii="仿宋" w:hAnsi="仿宋" w:eastAsia="仿宋" w:cs="仿宋"/>
          <w:b/>
          <w:color w:val="auto"/>
          <w:kern w:val="0"/>
          <w:sz w:val="32"/>
          <w:szCs w:val="32"/>
          <w:highlight w:val="none"/>
        </w:rPr>
      </w:pPr>
    </w:p>
    <w:p w14:paraId="7963B5B4">
      <w:pPr>
        <w:snapToGrid w:val="0"/>
        <w:spacing w:line="360" w:lineRule="auto"/>
        <w:ind w:right="480"/>
        <w:jc w:val="center"/>
        <w:rPr>
          <w:rFonts w:ascii="仿宋" w:hAnsi="仿宋" w:eastAsia="仿宋" w:cs="仿宋"/>
          <w:b/>
          <w:color w:val="auto"/>
          <w:kern w:val="0"/>
          <w:sz w:val="32"/>
          <w:szCs w:val="32"/>
          <w:highlight w:val="none"/>
        </w:rPr>
      </w:pPr>
    </w:p>
    <w:p w14:paraId="47C629DE">
      <w:pPr>
        <w:snapToGrid w:val="0"/>
        <w:spacing w:line="360" w:lineRule="auto"/>
        <w:ind w:right="480"/>
        <w:jc w:val="center"/>
        <w:rPr>
          <w:rFonts w:ascii="仿宋" w:hAnsi="仿宋" w:eastAsia="仿宋" w:cs="仿宋"/>
          <w:b/>
          <w:color w:val="auto"/>
          <w:kern w:val="0"/>
          <w:sz w:val="32"/>
          <w:szCs w:val="32"/>
          <w:highlight w:val="none"/>
        </w:rPr>
      </w:pPr>
    </w:p>
    <w:p w14:paraId="1EA97A55">
      <w:pPr>
        <w:snapToGrid w:val="0"/>
        <w:spacing w:line="360" w:lineRule="auto"/>
        <w:ind w:right="480"/>
        <w:jc w:val="center"/>
        <w:rPr>
          <w:rFonts w:ascii="仿宋" w:hAnsi="仿宋" w:eastAsia="仿宋" w:cs="仿宋"/>
          <w:b/>
          <w:color w:val="auto"/>
          <w:kern w:val="0"/>
          <w:sz w:val="32"/>
          <w:szCs w:val="32"/>
          <w:highlight w:val="none"/>
        </w:rPr>
      </w:pPr>
    </w:p>
    <w:p w14:paraId="607BFB13">
      <w:pPr>
        <w:snapToGrid w:val="0"/>
        <w:spacing w:line="360" w:lineRule="auto"/>
        <w:ind w:right="480"/>
        <w:rPr>
          <w:rFonts w:ascii="仿宋" w:hAnsi="仿宋" w:eastAsia="仿宋" w:cs="仿宋"/>
          <w:b/>
          <w:color w:val="auto"/>
          <w:kern w:val="0"/>
          <w:sz w:val="32"/>
          <w:szCs w:val="32"/>
          <w:highlight w:val="none"/>
        </w:rPr>
      </w:pPr>
    </w:p>
    <w:p w14:paraId="475A5926">
      <w:pPr>
        <w:pStyle w:val="598"/>
        <w:keepNext w:val="0"/>
        <w:pageBreakBefore w:val="0"/>
        <w:tabs>
          <w:tab w:val="clear" w:pos="720"/>
        </w:tabs>
        <w:snapToGrid w:val="0"/>
        <w:spacing w:before="120" w:after="120"/>
        <w:ind w:firstLine="643"/>
        <w:outlineLvl w:val="9"/>
        <w:rPr>
          <w:rFonts w:ascii="仿宋" w:hAnsi="仿宋" w:eastAsia="仿宋" w:cs="仿宋"/>
          <w:color w:val="auto"/>
          <w:kern w:val="2"/>
          <w:sz w:val="32"/>
          <w:szCs w:val="32"/>
          <w:highlight w:val="none"/>
        </w:rPr>
        <w:sectPr>
          <w:headerReference r:id="rId8" w:type="first"/>
          <w:footerReference r:id="rId10" w:type="first"/>
          <w:headerReference r:id="rId7" w:type="default"/>
          <w:footerReference r:id="rId9" w:type="default"/>
          <w:pgSz w:w="11906" w:h="16838"/>
          <w:pgMar w:top="1276" w:right="1418" w:bottom="1247" w:left="1418" w:header="851" w:footer="992" w:gutter="0"/>
          <w:cols w:space="720" w:num="1"/>
          <w:titlePg/>
          <w:docGrid w:linePitch="312" w:charSpace="0"/>
        </w:sectPr>
      </w:pPr>
    </w:p>
    <w:p w14:paraId="7E0D2EFA">
      <w:pPr>
        <w:pStyle w:val="598"/>
        <w:keepNext w:val="0"/>
        <w:pageBreakBefore w:val="0"/>
        <w:tabs>
          <w:tab w:val="clear" w:pos="720"/>
        </w:tabs>
        <w:snapToGrid w:val="0"/>
        <w:spacing w:before="120" w:after="120"/>
        <w:ind w:firstLine="643"/>
        <w:outlineLvl w:val="9"/>
        <w:rPr>
          <w:rFonts w:ascii="仿宋" w:hAnsi="仿宋" w:eastAsia="仿宋" w:cs="仿宋"/>
          <w:color w:val="auto"/>
          <w:kern w:val="2"/>
          <w:sz w:val="32"/>
          <w:szCs w:val="32"/>
          <w:highlight w:val="none"/>
        </w:rPr>
      </w:pPr>
      <w:r>
        <w:rPr>
          <w:rFonts w:hint="eastAsia" w:ascii="仿宋" w:hAnsi="仿宋" w:eastAsia="仿宋" w:cs="仿宋"/>
          <w:color w:val="auto"/>
          <w:kern w:val="2"/>
          <w:sz w:val="32"/>
          <w:szCs w:val="32"/>
          <w:highlight w:val="none"/>
        </w:rPr>
        <w:t>一、交易一览表（报价表）</w:t>
      </w:r>
    </w:p>
    <w:p w14:paraId="7EC1B3A8">
      <w:pPr>
        <w:snapToGrid w:val="0"/>
        <w:spacing w:line="360" w:lineRule="auto"/>
        <w:rPr>
          <w:rFonts w:ascii="仿宋" w:hAnsi="仿宋" w:eastAsia="仿宋" w:cs="仿宋"/>
          <w:color w:val="auto"/>
          <w:kern w:val="0"/>
          <w:sz w:val="24"/>
          <w:highlight w:val="none"/>
        </w:rPr>
      </w:pPr>
      <w:r>
        <w:rPr>
          <w:rFonts w:hint="eastAsia" w:ascii="仿宋" w:hAnsi="仿宋" w:eastAsia="仿宋" w:cs="仿宋"/>
          <w:color w:val="auto"/>
          <w:sz w:val="24"/>
          <w:highlight w:val="none"/>
          <w:u w:val="single"/>
        </w:rPr>
        <w:t>（交易发起人）、（采购代理机构）</w:t>
      </w:r>
      <w:r>
        <w:rPr>
          <w:rFonts w:hint="eastAsia" w:ascii="仿宋" w:hAnsi="仿宋" w:eastAsia="仿宋" w:cs="仿宋"/>
          <w:color w:val="auto"/>
          <w:kern w:val="0"/>
          <w:sz w:val="24"/>
          <w:highlight w:val="none"/>
          <w:lang w:val="zh-CN"/>
        </w:rPr>
        <w:t>：</w:t>
      </w:r>
    </w:p>
    <w:p w14:paraId="0A5CBCF8">
      <w:pPr>
        <w:snapToGrid w:val="0"/>
        <w:spacing w:line="360" w:lineRule="auto"/>
        <w:ind w:firstLine="482"/>
        <w:rPr>
          <w:rFonts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按你方交易文件要求，我们，本响应文件签字方，谨此向你方发出要约如下：如你方接受本</w:t>
      </w:r>
      <w:r>
        <w:rPr>
          <w:rFonts w:hint="eastAsia" w:ascii="仿宋" w:hAnsi="仿宋" w:eastAsia="仿宋" w:cs="仿宋"/>
          <w:color w:val="auto"/>
          <w:kern w:val="0"/>
          <w:sz w:val="24"/>
          <w:highlight w:val="none"/>
        </w:rPr>
        <w:t>次交易</w:t>
      </w:r>
      <w:r>
        <w:rPr>
          <w:rFonts w:hint="eastAsia" w:ascii="仿宋" w:hAnsi="仿宋" w:eastAsia="仿宋" w:cs="仿宋"/>
          <w:color w:val="auto"/>
          <w:kern w:val="0"/>
          <w:sz w:val="24"/>
          <w:highlight w:val="none"/>
          <w:lang w:val="zh-CN"/>
        </w:rPr>
        <w:t>，我方承诺按照如下响应一览表（报价表）的价格完成</w:t>
      </w:r>
      <w:r>
        <w:rPr>
          <w:rFonts w:hint="eastAsia" w:ascii="仿宋" w:hAnsi="仿宋" w:eastAsia="仿宋" w:cs="仿宋"/>
          <w:color w:val="auto"/>
          <w:sz w:val="24"/>
          <w:highlight w:val="none"/>
          <w:u w:val="single"/>
        </w:rPr>
        <w:t>（项目名称）</w:t>
      </w:r>
      <w:r>
        <w:rPr>
          <w:rFonts w:hint="eastAsia" w:ascii="仿宋" w:hAnsi="仿宋" w:eastAsia="仿宋" w:cs="仿宋"/>
          <w:color w:val="auto"/>
          <w:kern w:val="0"/>
          <w:sz w:val="24"/>
          <w:highlight w:val="none"/>
          <w:u w:val="single"/>
          <w:lang w:val="zh-CN"/>
        </w:rPr>
        <w:t>【交易编号：</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的实施</w:t>
      </w:r>
      <w:r>
        <w:rPr>
          <w:rFonts w:hint="eastAsia" w:ascii="仿宋" w:hAnsi="仿宋" w:eastAsia="仿宋" w:cs="仿宋"/>
          <w:color w:val="auto"/>
          <w:kern w:val="0"/>
          <w:sz w:val="24"/>
          <w:highlight w:val="none"/>
          <w:lang w:val="zh-CN"/>
        </w:rPr>
        <w:t>。</w:t>
      </w:r>
    </w:p>
    <w:p w14:paraId="732B2B51">
      <w:pPr>
        <w:spacing w:line="360" w:lineRule="auto"/>
        <w:jc w:val="center"/>
        <w:rPr>
          <w:rFonts w:ascii="仿宋_GB2312" w:hAnsi="仿宋" w:eastAsia="仿宋_GB2312" w:cs="仿宋_GB2312"/>
          <w:b/>
          <w:color w:val="auto"/>
          <w:kern w:val="0"/>
          <w:sz w:val="24"/>
          <w:highlight w:val="none"/>
          <w:lang w:val="zh-CN"/>
        </w:rPr>
      </w:pPr>
      <w:r>
        <w:rPr>
          <w:rFonts w:hint="eastAsia" w:ascii="仿宋_GB2312" w:hAnsi="仿宋" w:eastAsia="仿宋_GB2312" w:cs="仿宋_GB2312"/>
          <w:b/>
          <w:color w:val="auto"/>
          <w:kern w:val="0"/>
          <w:sz w:val="24"/>
          <w:highlight w:val="none"/>
          <w:lang w:val="zh-CN"/>
        </w:rPr>
        <w:t>响应(交易)一览表</w:t>
      </w:r>
    </w:p>
    <w:tbl>
      <w:tblPr>
        <w:tblStyle w:val="61"/>
        <w:tblW w:w="1486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65"/>
        <w:gridCol w:w="3827"/>
        <w:gridCol w:w="2622"/>
        <w:gridCol w:w="1842"/>
        <w:gridCol w:w="1915"/>
        <w:gridCol w:w="2996"/>
      </w:tblGrid>
      <w:tr w14:paraId="48F2C6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34" w:hRule="atLeast"/>
          <w:tblHeader/>
          <w:jc w:val="center"/>
        </w:trPr>
        <w:tc>
          <w:tcPr>
            <w:tcW w:w="1665" w:type="dxa"/>
            <w:tcBorders>
              <w:right w:val="single" w:color="auto" w:sz="4" w:space="0"/>
            </w:tcBorders>
            <w:vAlign w:val="center"/>
          </w:tcPr>
          <w:p w14:paraId="7E006C68">
            <w:pPr>
              <w:pStyle w:val="622"/>
              <w:spacing w:line="400" w:lineRule="exact"/>
              <w:jc w:val="center"/>
              <w:rPr>
                <w:rFonts w:ascii="仿宋" w:hAnsi="仿宋" w:eastAsia="仿宋" w:cs="仿宋"/>
                <w:color w:val="auto"/>
                <w:sz w:val="24"/>
                <w:szCs w:val="24"/>
                <w:highlight w:val="none"/>
                <w:lang w:val="en-GB"/>
              </w:rPr>
            </w:pPr>
            <w:r>
              <w:rPr>
                <w:rFonts w:hint="eastAsia" w:ascii="仿宋" w:hAnsi="仿宋" w:eastAsia="仿宋" w:cs="仿宋"/>
                <w:color w:val="auto"/>
                <w:sz w:val="24"/>
                <w:szCs w:val="24"/>
                <w:highlight w:val="none"/>
                <w:lang w:val="en-GB"/>
              </w:rPr>
              <w:t>标项</w:t>
            </w:r>
          </w:p>
        </w:tc>
        <w:tc>
          <w:tcPr>
            <w:tcW w:w="3827" w:type="dxa"/>
            <w:tcBorders>
              <w:left w:val="single" w:color="auto" w:sz="4" w:space="0"/>
              <w:right w:val="single" w:color="auto" w:sz="4" w:space="0"/>
            </w:tcBorders>
            <w:vAlign w:val="center"/>
          </w:tcPr>
          <w:p w14:paraId="1027714B">
            <w:pPr>
              <w:pStyle w:val="622"/>
              <w:spacing w:line="400" w:lineRule="exact"/>
              <w:jc w:val="center"/>
              <w:rPr>
                <w:rFonts w:ascii="仿宋" w:hAnsi="仿宋" w:eastAsia="仿宋" w:cs="仿宋"/>
                <w:color w:val="auto"/>
                <w:sz w:val="24"/>
                <w:szCs w:val="24"/>
                <w:highlight w:val="none"/>
                <w:lang w:val="en-GB"/>
              </w:rPr>
            </w:pPr>
            <w:r>
              <w:rPr>
                <w:rFonts w:hint="eastAsia" w:ascii="仿宋" w:hAnsi="仿宋" w:eastAsia="仿宋" w:cs="仿宋"/>
                <w:color w:val="auto"/>
                <w:sz w:val="24"/>
                <w:szCs w:val="24"/>
                <w:highlight w:val="none"/>
                <w:lang w:val="en-GB"/>
              </w:rPr>
              <w:t>名称</w:t>
            </w:r>
          </w:p>
        </w:tc>
        <w:tc>
          <w:tcPr>
            <w:tcW w:w="2622" w:type="dxa"/>
            <w:tcBorders>
              <w:left w:val="single" w:color="auto" w:sz="4" w:space="0"/>
              <w:right w:val="single" w:color="auto" w:sz="4" w:space="0"/>
            </w:tcBorders>
            <w:vAlign w:val="center"/>
          </w:tcPr>
          <w:p w14:paraId="7903B394">
            <w:pPr>
              <w:pStyle w:val="622"/>
              <w:spacing w:line="400" w:lineRule="exact"/>
              <w:jc w:val="center"/>
              <w:rPr>
                <w:rFonts w:ascii="仿宋" w:hAnsi="仿宋" w:eastAsia="仿宋" w:cs="仿宋"/>
                <w:color w:val="auto"/>
                <w:sz w:val="24"/>
                <w:szCs w:val="24"/>
                <w:highlight w:val="none"/>
                <w:lang w:val="en-GB"/>
              </w:rPr>
            </w:pPr>
            <w:r>
              <w:rPr>
                <w:rFonts w:hint="eastAsia" w:ascii="仿宋" w:hAnsi="仿宋" w:eastAsia="仿宋" w:cs="仿宋"/>
                <w:color w:val="auto"/>
                <w:sz w:val="24"/>
                <w:szCs w:val="24"/>
                <w:highlight w:val="none"/>
                <w:lang w:val="en-GB"/>
              </w:rPr>
              <w:t>规格型号参数</w:t>
            </w:r>
          </w:p>
        </w:tc>
        <w:tc>
          <w:tcPr>
            <w:tcW w:w="1842" w:type="dxa"/>
            <w:tcBorders>
              <w:left w:val="single" w:color="auto" w:sz="4" w:space="0"/>
              <w:right w:val="single" w:color="auto" w:sz="4" w:space="0"/>
            </w:tcBorders>
            <w:vAlign w:val="center"/>
          </w:tcPr>
          <w:p w14:paraId="767907DA">
            <w:pPr>
              <w:pStyle w:val="622"/>
              <w:spacing w:line="400" w:lineRule="exact"/>
              <w:jc w:val="center"/>
              <w:rPr>
                <w:rFonts w:ascii="仿宋" w:hAnsi="仿宋" w:eastAsia="仿宋" w:cs="仿宋"/>
                <w:color w:val="auto"/>
                <w:sz w:val="24"/>
                <w:szCs w:val="24"/>
                <w:highlight w:val="none"/>
                <w:lang w:val="en-GB"/>
              </w:rPr>
            </w:pPr>
            <w:r>
              <w:rPr>
                <w:rFonts w:hint="eastAsia" w:ascii="仿宋" w:hAnsi="仿宋" w:eastAsia="仿宋" w:cs="仿宋"/>
                <w:color w:val="auto"/>
                <w:sz w:val="24"/>
                <w:szCs w:val="24"/>
                <w:highlight w:val="none"/>
                <w:lang w:val="en-GB"/>
              </w:rPr>
              <w:t>数量</w:t>
            </w:r>
          </w:p>
        </w:tc>
        <w:tc>
          <w:tcPr>
            <w:tcW w:w="1915" w:type="dxa"/>
            <w:tcBorders>
              <w:left w:val="single" w:color="auto" w:sz="4" w:space="0"/>
              <w:right w:val="single" w:color="auto" w:sz="4" w:space="0"/>
            </w:tcBorders>
            <w:vAlign w:val="center"/>
          </w:tcPr>
          <w:p w14:paraId="4461C74D">
            <w:pPr>
              <w:pStyle w:val="622"/>
              <w:spacing w:line="4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GB"/>
              </w:rPr>
              <w:t>单价</w:t>
            </w:r>
          </w:p>
        </w:tc>
        <w:tc>
          <w:tcPr>
            <w:tcW w:w="2996" w:type="dxa"/>
            <w:tcBorders>
              <w:left w:val="single" w:color="auto" w:sz="4" w:space="0"/>
              <w:right w:val="single" w:color="auto" w:sz="4" w:space="0"/>
            </w:tcBorders>
            <w:vAlign w:val="center"/>
          </w:tcPr>
          <w:p w14:paraId="1D2D83D0">
            <w:pPr>
              <w:pStyle w:val="622"/>
              <w:spacing w:line="400" w:lineRule="exact"/>
              <w:jc w:val="center"/>
              <w:rPr>
                <w:rFonts w:ascii="仿宋" w:hAnsi="仿宋" w:eastAsia="仿宋" w:cs="仿宋"/>
                <w:color w:val="auto"/>
                <w:sz w:val="24"/>
                <w:szCs w:val="24"/>
                <w:highlight w:val="none"/>
                <w:lang w:val="en-GB"/>
              </w:rPr>
            </w:pPr>
            <w:r>
              <w:rPr>
                <w:rFonts w:hint="eastAsia" w:ascii="仿宋" w:hAnsi="仿宋" w:eastAsia="仿宋" w:cs="仿宋"/>
                <w:color w:val="auto"/>
                <w:sz w:val="24"/>
                <w:szCs w:val="24"/>
                <w:highlight w:val="none"/>
                <w:lang w:val="en-GB"/>
              </w:rPr>
              <w:t>总价</w:t>
            </w:r>
          </w:p>
        </w:tc>
      </w:tr>
      <w:tr w14:paraId="2C5F94D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1665" w:type="dxa"/>
            <w:tcBorders>
              <w:right w:val="single" w:color="auto" w:sz="4" w:space="0"/>
            </w:tcBorders>
            <w:vAlign w:val="center"/>
          </w:tcPr>
          <w:p w14:paraId="08C5BE46">
            <w:pPr>
              <w:spacing w:line="360" w:lineRule="auto"/>
              <w:jc w:val="center"/>
              <w:rPr>
                <w:rFonts w:ascii="仿宋" w:hAnsi="仿宋" w:eastAsia="仿宋" w:cs="仿宋"/>
                <w:color w:val="auto"/>
                <w:sz w:val="24"/>
                <w:highlight w:val="none"/>
              </w:rPr>
            </w:pPr>
          </w:p>
        </w:tc>
        <w:tc>
          <w:tcPr>
            <w:tcW w:w="3827" w:type="dxa"/>
            <w:tcBorders>
              <w:left w:val="single" w:color="auto" w:sz="4" w:space="0"/>
              <w:right w:val="single" w:color="auto" w:sz="4" w:space="0"/>
            </w:tcBorders>
            <w:vAlign w:val="center"/>
          </w:tcPr>
          <w:p w14:paraId="7197B793">
            <w:pPr>
              <w:spacing w:line="360" w:lineRule="exact"/>
              <w:jc w:val="center"/>
              <w:rPr>
                <w:rFonts w:ascii="仿宋" w:hAnsi="仿宋" w:eastAsia="仿宋" w:cs="仿宋"/>
                <w:color w:val="auto"/>
                <w:sz w:val="24"/>
                <w:highlight w:val="none"/>
              </w:rPr>
            </w:pPr>
          </w:p>
        </w:tc>
        <w:tc>
          <w:tcPr>
            <w:tcW w:w="2622" w:type="dxa"/>
            <w:tcBorders>
              <w:left w:val="single" w:color="auto" w:sz="4" w:space="0"/>
              <w:right w:val="single" w:color="auto" w:sz="4" w:space="0"/>
            </w:tcBorders>
            <w:vAlign w:val="center"/>
          </w:tcPr>
          <w:p w14:paraId="712A1DAC">
            <w:pPr>
              <w:pStyle w:val="622"/>
              <w:spacing w:line="400" w:lineRule="exact"/>
              <w:jc w:val="center"/>
              <w:rPr>
                <w:rFonts w:ascii="仿宋" w:hAnsi="仿宋" w:eastAsia="仿宋" w:cs="仿宋"/>
                <w:color w:val="auto"/>
                <w:sz w:val="24"/>
                <w:highlight w:val="none"/>
              </w:rPr>
            </w:pPr>
          </w:p>
        </w:tc>
        <w:tc>
          <w:tcPr>
            <w:tcW w:w="1842" w:type="dxa"/>
            <w:tcBorders>
              <w:left w:val="single" w:color="auto" w:sz="4" w:space="0"/>
              <w:right w:val="single" w:color="auto" w:sz="4" w:space="0"/>
            </w:tcBorders>
            <w:vAlign w:val="center"/>
          </w:tcPr>
          <w:p w14:paraId="6DF2F201">
            <w:pPr>
              <w:pStyle w:val="622"/>
              <w:spacing w:line="400" w:lineRule="exact"/>
              <w:jc w:val="center"/>
              <w:rPr>
                <w:rFonts w:ascii="仿宋" w:hAnsi="仿宋" w:eastAsia="仿宋" w:cs="仿宋"/>
                <w:color w:val="auto"/>
                <w:sz w:val="24"/>
                <w:szCs w:val="24"/>
                <w:highlight w:val="none"/>
              </w:rPr>
            </w:pPr>
          </w:p>
        </w:tc>
        <w:tc>
          <w:tcPr>
            <w:tcW w:w="1915" w:type="dxa"/>
            <w:tcBorders>
              <w:left w:val="single" w:color="auto" w:sz="4" w:space="0"/>
              <w:right w:val="single" w:color="auto" w:sz="4" w:space="0"/>
            </w:tcBorders>
            <w:vAlign w:val="center"/>
          </w:tcPr>
          <w:p w14:paraId="209FE23C">
            <w:pPr>
              <w:pStyle w:val="622"/>
              <w:spacing w:line="400" w:lineRule="exact"/>
              <w:jc w:val="center"/>
              <w:rPr>
                <w:rFonts w:ascii="仿宋" w:hAnsi="仿宋" w:eastAsia="仿宋" w:cs="仿宋"/>
                <w:color w:val="auto"/>
                <w:sz w:val="24"/>
                <w:szCs w:val="24"/>
                <w:highlight w:val="none"/>
              </w:rPr>
            </w:pPr>
          </w:p>
        </w:tc>
        <w:tc>
          <w:tcPr>
            <w:tcW w:w="2996" w:type="dxa"/>
            <w:tcBorders>
              <w:left w:val="single" w:color="auto" w:sz="4" w:space="0"/>
              <w:right w:val="single" w:color="auto" w:sz="4" w:space="0"/>
            </w:tcBorders>
            <w:vAlign w:val="center"/>
          </w:tcPr>
          <w:p w14:paraId="14A48DF1">
            <w:pPr>
              <w:pStyle w:val="622"/>
              <w:spacing w:line="400" w:lineRule="exact"/>
              <w:jc w:val="center"/>
              <w:rPr>
                <w:rFonts w:ascii="仿宋" w:hAnsi="仿宋" w:eastAsia="仿宋" w:cs="仿宋"/>
                <w:color w:val="auto"/>
                <w:sz w:val="24"/>
                <w:szCs w:val="24"/>
                <w:highlight w:val="none"/>
              </w:rPr>
            </w:pPr>
          </w:p>
        </w:tc>
      </w:tr>
      <w:tr w14:paraId="16ABBA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1665" w:type="dxa"/>
            <w:tcBorders>
              <w:right w:val="single" w:color="auto" w:sz="4" w:space="0"/>
            </w:tcBorders>
            <w:vAlign w:val="center"/>
          </w:tcPr>
          <w:p w14:paraId="530E2310">
            <w:pPr>
              <w:spacing w:line="360" w:lineRule="auto"/>
              <w:jc w:val="center"/>
              <w:rPr>
                <w:rFonts w:ascii="仿宋" w:hAnsi="仿宋" w:eastAsia="仿宋" w:cs="仿宋"/>
                <w:color w:val="auto"/>
                <w:sz w:val="24"/>
                <w:highlight w:val="none"/>
              </w:rPr>
            </w:pPr>
          </w:p>
        </w:tc>
        <w:tc>
          <w:tcPr>
            <w:tcW w:w="3827" w:type="dxa"/>
            <w:tcBorders>
              <w:left w:val="single" w:color="auto" w:sz="4" w:space="0"/>
              <w:right w:val="single" w:color="auto" w:sz="4" w:space="0"/>
            </w:tcBorders>
            <w:vAlign w:val="center"/>
          </w:tcPr>
          <w:p w14:paraId="31781D22">
            <w:pPr>
              <w:spacing w:line="360" w:lineRule="exact"/>
              <w:jc w:val="center"/>
              <w:rPr>
                <w:rFonts w:ascii="仿宋" w:hAnsi="仿宋" w:eastAsia="仿宋" w:cs="仿宋"/>
                <w:color w:val="auto"/>
                <w:sz w:val="24"/>
                <w:highlight w:val="none"/>
              </w:rPr>
            </w:pPr>
          </w:p>
        </w:tc>
        <w:tc>
          <w:tcPr>
            <w:tcW w:w="2622" w:type="dxa"/>
            <w:tcBorders>
              <w:left w:val="single" w:color="auto" w:sz="4" w:space="0"/>
              <w:right w:val="single" w:color="auto" w:sz="4" w:space="0"/>
            </w:tcBorders>
            <w:vAlign w:val="center"/>
          </w:tcPr>
          <w:p w14:paraId="06EB1D3E">
            <w:pPr>
              <w:pStyle w:val="622"/>
              <w:spacing w:line="400" w:lineRule="exact"/>
              <w:jc w:val="center"/>
              <w:rPr>
                <w:rFonts w:ascii="仿宋" w:hAnsi="仿宋" w:eastAsia="仿宋" w:cs="仿宋"/>
                <w:color w:val="auto"/>
                <w:sz w:val="24"/>
                <w:highlight w:val="none"/>
              </w:rPr>
            </w:pPr>
          </w:p>
        </w:tc>
        <w:tc>
          <w:tcPr>
            <w:tcW w:w="1842" w:type="dxa"/>
            <w:tcBorders>
              <w:left w:val="single" w:color="auto" w:sz="4" w:space="0"/>
              <w:right w:val="single" w:color="auto" w:sz="4" w:space="0"/>
            </w:tcBorders>
            <w:vAlign w:val="center"/>
          </w:tcPr>
          <w:p w14:paraId="4EF90A81">
            <w:pPr>
              <w:pStyle w:val="622"/>
              <w:spacing w:line="400" w:lineRule="exact"/>
              <w:jc w:val="center"/>
              <w:rPr>
                <w:rFonts w:ascii="仿宋" w:hAnsi="仿宋" w:eastAsia="仿宋" w:cs="仿宋"/>
                <w:color w:val="auto"/>
                <w:sz w:val="24"/>
                <w:szCs w:val="24"/>
                <w:highlight w:val="none"/>
              </w:rPr>
            </w:pPr>
          </w:p>
        </w:tc>
        <w:tc>
          <w:tcPr>
            <w:tcW w:w="1915" w:type="dxa"/>
            <w:tcBorders>
              <w:left w:val="single" w:color="auto" w:sz="4" w:space="0"/>
              <w:right w:val="single" w:color="auto" w:sz="4" w:space="0"/>
            </w:tcBorders>
            <w:vAlign w:val="center"/>
          </w:tcPr>
          <w:p w14:paraId="335B0CE1">
            <w:pPr>
              <w:pStyle w:val="622"/>
              <w:spacing w:line="400" w:lineRule="exact"/>
              <w:jc w:val="center"/>
              <w:rPr>
                <w:rFonts w:ascii="仿宋" w:hAnsi="仿宋" w:eastAsia="仿宋" w:cs="仿宋"/>
                <w:color w:val="auto"/>
                <w:sz w:val="24"/>
                <w:szCs w:val="24"/>
                <w:highlight w:val="none"/>
              </w:rPr>
            </w:pPr>
          </w:p>
        </w:tc>
        <w:tc>
          <w:tcPr>
            <w:tcW w:w="2996" w:type="dxa"/>
            <w:tcBorders>
              <w:left w:val="single" w:color="auto" w:sz="4" w:space="0"/>
              <w:right w:val="single" w:color="auto" w:sz="4" w:space="0"/>
            </w:tcBorders>
            <w:vAlign w:val="center"/>
          </w:tcPr>
          <w:p w14:paraId="07A1B9C1">
            <w:pPr>
              <w:pStyle w:val="622"/>
              <w:spacing w:line="400" w:lineRule="exact"/>
              <w:jc w:val="center"/>
              <w:rPr>
                <w:rFonts w:ascii="仿宋" w:hAnsi="仿宋" w:eastAsia="仿宋" w:cs="仿宋"/>
                <w:color w:val="auto"/>
                <w:sz w:val="24"/>
                <w:szCs w:val="24"/>
                <w:highlight w:val="none"/>
              </w:rPr>
            </w:pPr>
          </w:p>
        </w:tc>
      </w:tr>
    </w:tbl>
    <w:p w14:paraId="583CAF4B">
      <w:pPr>
        <w:snapToGrid w:val="0"/>
        <w:spacing w:line="360" w:lineRule="auto"/>
        <w:ind w:left="480"/>
        <w:rPr>
          <w:rFonts w:ascii="仿宋" w:hAnsi="仿宋" w:eastAsia="仿宋" w:cs="仿宋"/>
          <w:b/>
          <w:color w:val="auto"/>
          <w:kern w:val="0"/>
          <w:sz w:val="24"/>
          <w:highlight w:val="none"/>
          <w:lang w:val="zh-CN"/>
        </w:rPr>
      </w:pPr>
      <w:r>
        <w:rPr>
          <w:rFonts w:hint="eastAsia" w:ascii="仿宋" w:hAnsi="仿宋" w:eastAsia="仿宋" w:cs="仿宋"/>
          <w:b/>
          <w:color w:val="auto"/>
          <w:kern w:val="0"/>
          <w:sz w:val="24"/>
          <w:highlight w:val="none"/>
          <w:lang w:val="zh-CN"/>
        </w:rPr>
        <w:t>注：</w:t>
      </w:r>
    </w:p>
    <w:p w14:paraId="6291B838">
      <w:pPr>
        <w:spacing w:line="360" w:lineRule="auto"/>
        <w:ind w:left="-2" w:leftChars="-1" w:firstLine="480" w:firstLineChars="200"/>
        <w:rPr>
          <w:rFonts w:ascii="仿宋_GB2312" w:hAnsi="仿宋" w:eastAsia="仿宋_GB2312" w:cs="仿宋_GB2312"/>
          <w:color w:val="auto"/>
          <w:kern w:val="0"/>
          <w:sz w:val="24"/>
          <w:highlight w:val="none"/>
          <w:lang w:val="zh-CN"/>
        </w:rPr>
      </w:pPr>
      <w:r>
        <w:rPr>
          <w:rFonts w:hint="eastAsia" w:ascii="仿宋_GB2312" w:hAnsi="仿宋" w:eastAsia="仿宋_GB2312" w:cs="仿宋_GB2312"/>
          <w:color w:val="auto"/>
          <w:kern w:val="0"/>
          <w:sz w:val="24"/>
          <w:highlight w:val="none"/>
          <w:lang w:val="zh-CN"/>
        </w:rPr>
        <w:t>1、响应人需按本表格式填写，不得自行更改。</w:t>
      </w:r>
    </w:p>
    <w:p w14:paraId="3B06A3AA">
      <w:pPr>
        <w:snapToGrid w:val="0"/>
        <w:spacing w:line="360" w:lineRule="auto"/>
        <w:ind w:left="480"/>
        <w:rPr>
          <w:rFonts w:ascii="仿宋_GB2312" w:hAnsi="仿宋" w:eastAsia="仿宋_GB2312"/>
          <w:b/>
          <w:color w:val="auto"/>
          <w:kern w:val="0"/>
          <w:sz w:val="24"/>
          <w:highlight w:val="none"/>
        </w:rPr>
      </w:pPr>
      <w:r>
        <w:rPr>
          <w:rFonts w:hint="eastAsia" w:ascii="仿宋_GB2312" w:hAnsi="仿宋" w:eastAsia="仿宋_GB2312" w:cs="仿宋_GB2312"/>
          <w:color w:val="auto"/>
          <w:kern w:val="0"/>
          <w:sz w:val="24"/>
          <w:highlight w:val="none"/>
          <w:lang w:val="zh-CN"/>
        </w:rPr>
        <w:t>2、有关本项目实施所涉及的一切费用均计入报价。</w:t>
      </w:r>
    </w:p>
    <w:p w14:paraId="0E04CFBB">
      <w:pPr>
        <w:spacing w:line="360" w:lineRule="auto"/>
        <w:ind w:firstLine="480" w:firstLineChars="200"/>
        <w:jc w:val="center"/>
        <w:rPr>
          <w:rFonts w:ascii="仿宋_GB2312" w:hAnsi="仿宋" w:eastAsia="仿宋_GB2312" w:cs="仿宋_GB2312"/>
          <w:color w:val="auto"/>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供应商名称（</w:t>
      </w:r>
      <w:r>
        <w:rPr>
          <w:rFonts w:hint="eastAsia" w:ascii="仿宋" w:hAnsi="仿宋" w:eastAsia="仿宋" w:cs="仿宋"/>
          <w:color w:val="auto"/>
          <w:sz w:val="24"/>
          <w:highlight w:val="none"/>
        </w:rPr>
        <w:t>电子签名</w:t>
      </w:r>
      <w:r>
        <w:rPr>
          <w:rFonts w:hint="eastAsia" w:ascii="仿宋" w:hAnsi="仿宋" w:eastAsia="仿宋" w:cs="仿宋"/>
          <w:color w:val="auto"/>
          <w:kern w:val="0"/>
          <w:sz w:val="24"/>
          <w:highlight w:val="none"/>
          <w:lang w:val="zh-CN"/>
        </w:rPr>
        <w:t>）：</w:t>
      </w:r>
      <w:r>
        <w:rPr>
          <w:rFonts w:hint="eastAsia" w:ascii="仿宋_GB2312" w:hAnsi="仿宋" w:eastAsia="仿宋_GB2312" w:cs="仿宋_GB2312"/>
          <w:color w:val="auto"/>
          <w:sz w:val="24"/>
          <w:highlight w:val="none"/>
        </w:rPr>
        <w:t xml:space="preserve">                                                                               </w:t>
      </w:r>
    </w:p>
    <w:p w14:paraId="549D8688">
      <w:pPr>
        <w:spacing w:line="360" w:lineRule="auto"/>
        <w:ind w:firstLine="480" w:firstLineChars="200"/>
        <w:jc w:val="center"/>
        <w:rPr>
          <w:color w:val="auto"/>
          <w:highlight w:val="none"/>
        </w:rPr>
      </w:pPr>
      <w:r>
        <w:rPr>
          <w:rFonts w:hint="eastAsia" w:ascii="仿宋_GB2312" w:hAnsi="仿宋" w:eastAsia="仿宋_GB2312" w:cs="仿宋_GB2312"/>
          <w:color w:val="auto"/>
          <w:sz w:val="24"/>
          <w:highlight w:val="none"/>
        </w:rPr>
        <w:t xml:space="preserve">                                                              日期：  年   月   日</w:t>
      </w:r>
    </w:p>
    <w:sectPr>
      <w:headerReference r:id="rId12" w:type="first"/>
      <w:footerReference r:id="rId14" w:type="first"/>
      <w:headerReference r:id="rId11" w:type="default"/>
      <w:footerReference r:id="rId13" w:type="default"/>
      <w:pgSz w:w="16838" w:h="11906" w:orient="landscape"/>
      <w:pgMar w:top="1418" w:right="1247" w:bottom="1418" w:left="1276"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MS Sans Serif">
    <w:altName w:val="DejaVu Math TeX Gyre"/>
    <w:panose1 w:val="00000000000000000000"/>
    <w:charset w:val="00"/>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Futura Bk">
    <w:altName w:val="DejaVu Math TeX Gyre"/>
    <w:panose1 w:val="00000000000000000000"/>
    <w:charset w:val="00"/>
    <w:family w:val="swiss"/>
    <w:pitch w:val="default"/>
    <w:sig w:usb0="00000000" w:usb1="00000000" w:usb2="00000000" w:usb3="00000000" w:csb0="00000001" w:csb1="00000000"/>
  </w:font>
  <w:font w:name="Cumberland">
    <w:altName w:val="DejaVu Math TeX Gyre"/>
    <w:panose1 w:val="00000000000000000000"/>
    <w:charset w:val="00"/>
    <w:family w:val="modern"/>
    <w:pitch w:val="default"/>
    <w:sig w:usb0="00000000" w:usb1="00000000" w:usb2="00000000" w:usb3="00000000" w:csb0="00000001" w:csb1="00000000"/>
  </w:font>
  <w:font w:name="方正宋体">
    <w:altName w:val="宋体"/>
    <w:panose1 w:val="00000000000000000000"/>
    <w:charset w:val="00"/>
    <w:family w:val="auto"/>
    <w:pitch w:val="default"/>
    <w:sig w:usb0="00000000" w:usb1="00000000" w:usb2="00000000"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新宋体">
    <w:panose1 w:val="02010609030101010101"/>
    <w:charset w:val="86"/>
    <w:family w:val="modern"/>
    <w:pitch w:val="default"/>
    <w:sig w:usb0="00000283" w:usb1="288F0000" w:usb2="00000006" w:usb3="00000000" w:csb0="00040001" w:csb1="00000000"/>
  </w:font>
  <w:font w:name="Segoe UI">
    <w:panose1 w:val="020B0502040204020203"/>
    <w:charset w:val="00"/>
    <w:family w:val="swiss"/>
    <w:pitch w:val="default"/>
    <w:sig w:usb0="E4002EFF" w:usb1="C000E47F" w:usb2="00000009" w:usb3="00000000" w:csb0="200001FF" w:csb1="00000000"/>
  </w:font>
  <w:font w:name="Latha">
    <w:altName w:val="DejaVu Math TeX Gyre"/>
    <w:panose1 w:val="02000400000000000000"/>
    <w:charset w:val="00"/>
    <w:family w:val="swiss"/>
    <w:pitch w:val="default"/>
    <w:sig w:usb0="00000000" w:usb1="00000000" w:usb2="00000000" w:usb3="00000000" w:csb0="00000001" w:csb1="00000000"/>
  </w:font>
  <w:font w:name="Futura Hv">
    <w:altName w:val="DejaVu Math TeX Gyre"/>
    <w:panose1 w:val="00000000000000000000"/>
    <w:charset w:val="00"/>
    <w:family w:val="swiss"/>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Arial (W1)">
    <w:altName w:val="Arial"/>
    <w:panose1 w:val="00000000000000000000"/>
    <w:charset w:val="00"/>
    <w:family w:val="swiss"/>
    <w:pitch w:val="default"/>
    <w:sig w:usb0="00000000" w:usb1="00000000" w:usb2="00000000" w:usb3="00000000" w:csb0="00000001" w:csb1="00000000"/>
  </w:font>
  <w:font w:name="Aldine401 BT">
    <w:altName w:val="DejaVu Math TeX Gyre"/>
    <w:panose1 w:val="00000000000000000000"/>
    <w:charset w:val="00"/>
    <w:family w:val="roman"/>
    <w:pitch w:val="default"/>
    <w:sig w:usb0="00000000" w:usb1="00000000" w:usb2="00000000" w:usb3="00000000" w:csb0="00000001" w:csb1="00000000"/>
  </w:font>
  <w:font w:name="幼圆">
    <w:altName w:val="宋体"/>
    <w:panose1 w:val="02010509060101010101"/>
    <w:charset w:val="86"/>
    <w:family w:val="modern"/>
    <w:pitch w:val="default"/>
    <w:sig w:usb0="00000000" w:usb1="00000000" w:usb2="00000000" w:usb3="00000000" w:csb0="00040000" w:csb1="00000000"/>
  </w:font>
  <w:font w:name="FHLHE E+ Futura Bk">
    <w:altName w:val="宋体"/>
    <w:panose1 w:val="00000000000000000000"/>
    <w:charset w:val="86"/>
    <w:family w:val="swiss"/>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S Gothic">
    <w:panose1 w:val="020B0609070205080204"/>
    <w:charset w:val="80"/>
    <w:family w:val="modern"/>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31299">
    <w:pPr>
      <w:pStyle w:val="38"/>
      <w:jc w:val="center"/>
      <w:rPr>
        <w:rFonts w:ascii="仿宋_GB2312" w:eastAsia="仿宋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774AFC">
                          <w:pPr>
                            <w:pStyle w:val="38"/>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D774AFC">
                    <w:pPr>
                      <w:pStyle w:val="38"/>
                    </w:pPr>
                    <w:r>
                      <w:fldChar w:fldCharType="begin"/>
                    </w:r>
                    <w:r>
                      <w:instrText xml:space="preserve"> PAGE  \* MERGEFORMAT </w:instrText>
                    </w:r>
                    <w:r>
                      <w:fldChar w:fldCharType="separate"/>
                    </w:r>
                    <w:r>
                      <w:t>30</w:t>
                    </w:r>
                    <w:r>
                      <w:fldChar w:fldCharType="end"/>
                    </w:r>
                  </w:p>
                </w:txbxContent>
              </v:textbox>
            </v:shape>
          </w:pict>
        </mc:Fallback>
      </mc:AlternateContent>
    </w:r>
  </w:p>
  <w:p w14:paraId="0619DAE2">
    <w:pPr>
      <w:rPr>
        <w:rFonts w:ascii="仿宋_GB2312" w:eastAsia="仿宋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F84D8">
    <w:pPr>
      <w:pStyle w:val="38"/>
      <w:jc w:val="center"/>
      <w:rPr>
        <w:rFonts w:ascii="仿宋_GB2312" w:eastAsia="仿宋_GB23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07615">
                          <w:pPr>
                            <w:pStyle w:val="3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2BA07615">
                    <w:pPr>
                      <w:pStyle w:val="38"/>
                    </w:pPr>
                    <w:r>
                      <w:fldChar w:fldCharType="begin"/>
                    </w:r>
                    <w:r>
                      <w:instrText xml:space="preserve"> PAGE  \* MERGEFORMAT </w:instrText>
                    </w:r>
                    <w:r>
                      <w:fldChar w:fldCharType="separate"/>
                    </w:r>
                    <w:r>
                      <w:t>1</w:t>
                    </w:r>
                    <w:r>
                      <w:fldChar w:fldCharType="end"/>
                    </w:r>
                  </w:p>
                </w:txbxContent>
              </v:textbox>
            </v:shape>
          </w:pict>
        </mc:Fallback>
      </mc:AlternateContent>
    </w:r>
  </w:p>
  <w:p w14:paraId="34E89C4E">
    <w:pPr>
      <w:rPr>
        <w:rFonts w:ascii="仿宋_GB2312" w:eastAsia="仿宋_GB23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7239F">
    <w:pPr>
      <w:pStyle w:val="38"/>
      <w:jc w:val="center"/>
      <w:rPr>
        <w:rFonts w:ascii="仿宋_GB2312" w:eastAsia="仿宋_GB2312"/>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6FADA3">
                          <w:pPr>
                            <w:pStyle w:val="3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056FADA3">
                    <w:pPr>
                      <w:pStyle w:val="38"/>
                    </w:pPr>
                    <w:r>
                      <w:fldChar w:fldCharType="begin"/>
                    </w:r>
                    <w:r>
                      <w:instrText xml:space="preserve"> PAGE  \* MERGEFORMAT </w:instrText>
                    </w:r>
                    <w:r>
                      <w:fldChar w:fldCharType="separate"/>
                    </w:r>
                    <w:r>
                      <w:t>52</w:t>
                    </w:r>
                    <w:r>
                      <w:fldChar w:fldCharType="end"/>
                    </w:r>
                  </w:p>
                </w:txbxContent>
              </v:textbox>
            </v:shape>
          </w:pict>
        </mc:Fallback>
      </mc:AlternateContent>
    </w:r>
  </w:p>
  <w:p w14:paraId="48215C0C">
    <w:pPr>
      <w:rPr>
        <w:rFonts w:ascii="仿宋_GB2312" w:eastAsia="仿宋_GB23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016D">
    <w:pPr>
      <w:pStyle w:val="38"/>
      <w:jc w:val="center"/>
      <w:rPr>
        <w:rFonts w:ascii="仿宋_GB2312" w:eastAsia="仿宋_GB2312"/>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4DAADB">
                          <w:pPr>
                            <w:pStyle w:val="38"/>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5D4DAADB">
                    <w:pPr>
                      <w:pStyle w:val="38"/>
                    </w:pPr>
                    <w:r>
                      <w:fldChar w:fldCharType="begin"/>
                    </w:r>
                    <w:r>
                      <w:instrText xml:space="preserve"> PAGE  \* MERGEFORMAT </w:instrText>
                    </w:r>
                    <w:r>
                      <w:fldChar w:fldCharType="separate"/>
                    </w:r>
                    <w:r>
                      <w:t>38</w:t>
                    </w:r>
                    <w:r>
                      <w:fldChar w:fldCharType="end"/>
                    </w:r>
                  </w:p>
                </w:txbxContent>
              </v:textbox>
            </v:shape>
          </w:pict>
        </mc:Fallback>
      </mc:AlternateContent>
    </w:r>
  </w:p>
  <w:p w14:paraId="7570B1D6">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125D7">
    <w:pPr>
      <w:pStyle w:val="38"/>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78</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78</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2BA71">
    <w:pPr>
      <w:pStyle w:val="38"/>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39</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39</w:t>
    </w:r>
    <w:r>
      <w:rPr>
        <w:rFonts w:hint="eastAsia" w:ascii="仿宋_GB2312" w:eastAsia="仿宋_GB2312"/>
        <w:kern w:val="0"/>
        <w:szCs w:val="21"/>
      </w:rPr>
      <w:fldChar w:fldCharType="end"/>
    </w:r>
    <w:bookmarkStart w:id="417" w:name="_Toc91899912"/>
    <w:bookmarkStart w:id="418" w:name="_Toc36110187"/>
    <w:bookmarkStart w:id="419" w:name="_Toc131845147"/>
    <w:bookmarkStart w:id="420" w:name="_Toc164085800"/>
    <w:r>
      <w:rPr>
        <w:rFonts w:hint="eastAsia" w:ascii="仿宋_GB2312" w:eastAsia="仿宋_GB2312"/>
        <w:kern w:val="0"/>
        <w:szCs w:val="21"/>
      </w:rPr>
      <w:t xml:space="preserve"> 页</w:t>
    </w:r>
    <w:bookmarkEnd w:id="417"/>
    <w:bookmarkEnd w:id="418"/>
    <w:bookmarkEnd w:id="419"/>
    <w:bookmarkEnd w:id="420"/>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CAB5A">
    <w:pPr>
      <w:pStyle w:val="40"/>
    </w:pPr>
    <w:r>
      <w:rPr>
        <w:rFonts w:hint="eastAsia"/>
      </w:rPr>
      <w:t xml:space="preserve">                                                                                         交易文件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DD444">
    <w:pPr>
      <w:pStyle w:val="40"/>
    </w:pPr>
    <w:r>
      <w:rPr>
        <w:rFonts w:hint="eastAsia"/>
      </w:rPr>
      <w:t xml:space="preserve">                                                                                         交易文件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0E913">
    <w:pPr>
      <w:pStyle w:val="4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6B15C">
    <w:pPr>
      <w:pStyle w:val="4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C522">
    <w:pPr>
      <w:pStyle w:val="40"/>
      <w:rPr>
        <w:rFonts w:ascii="仿宋_GB2312" w:eastAsia="仿宋_GB2312"/>
        <w:b/>
        <w:i/>
        <w:iCs/>
        <w:u w:val="single"/>
      </w:rPr>
    </w:pPr>
    <w:r>
      <w:rPr>
        <w:rFonts w:hint="eastAsia"/>
      </w:rPr>
      <w:t xml:space="preserve">                                                                          萧山区政府交易公开招标文件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7A007">
    <w:pPr>
      <w:pStyle w:val="40"/>
    </w:pPr>
    <w:r>
      <w:rPr>
        <w:rFonts w:hint="eastAsia"/>
      </w:rPr>
      <w:t xml:space="preserve">                                                                         交易文件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33"/>
      <w:lvlText w:val=""/>
      <w:lvlJc w:val="left"/>
      <w:pPr>
        <w:tabs>
          <w:tab w:val="left" w:pos="840"/>
        </w:tabs>
        <w:ind w:left="840" w:hanging="420"/>
      </w:pPr>
      <w:rPr>
        <w:rFonts w:hint="default" w:ascii="Wingdings" w:hAnsi="Wingdings"/>
      </w:rPr>
    </w:lvl>
    <w:lvl w:ilvl="1" w:tentative="0">
      <w:start w:val="1"/>
      <w:numFmt w:val="bullet"/>
      <w:pStyle w:val="329"/>
      <w:lvlText w:val=""/>
      <w:lvlJc w:val="left"/>
      <w:pPr>
        <w:tabs>
          <w:tab w:val="left" w:pos="1260"/>
        </w:tabs>
        <w:ind w:left="1260" w:hanging="420"/>
      </w:pPr>
      <w:rPr>
        <w:rFonts w:hint="default" w:ascii="Wingdings" w:hAnsi="Wingdings"/>
      </w:rPr>
    </w:lvl>
    <w:lvl w:ilvl="2" w:tentative="0">
      <w:start w:val="1"/>
      <w:numFmt w:val="bullet"/>
      <w:pStyle w:val="310"/>
      <w:lvlText w:val=""/>
      <w:lvlJc w:val="left"/>
      <w:pPr>
        <w:tabs>
          <w:tab w:val="left" w:pos="1680"/>
        </w:tabs>
        <w:ind w:left="1680" w:hanging="420"/>
      </w:pPr>
      <w:rPr>
        <w:rFonts w:hint="default" w:ascii="Wingdings" w:hAnsi="Wingdings"/>
      </w:rPr>
    </w:lvl>
    <w:lvl w:ilvl="3" w:tentative="0">
      <w:start w:val="1"/>
      <w:numFmt w:val="bullet"/>
      <w:pStyle w:val="327"/>
      <w:lvlText w:val=""/>
      <w:lvlJc w:val="left"/>
      <w:pPr>
        <w:tabs>
          <w:tab w:val="left" w:pos="2100"/>
        </w:tabs>
        <w:ind w:left="2100" w:hanging="420"/>
      </w:pPr>
      <w:rPr>
        <w:rFonts w:hint="default" w:ascii="Wingdings" w:hAnsi="Wingdings"/>
      </w:rPr>
    </w:lvl>
    <w:lvl w:ilvl="4" w:tentative="0">
      <w:start w:val="1"/>
      <w:numFmt w:val="bullet"/>
      <w:pStyle w:val="394"/>
      <w:lvlText w:val=""/>
      <w:lvlJc w:val="left"/>
      <w:pPr>
        <w:tabs>
          <w:tab w:val="left" w:pos="2520"/>
        </w:tabs>
        <w:ind w:left="2520" w:hanging="420"/>
      </w:pPr>
      <w:rPr>
        <w:rFonts w:hint="default" w:ascii="Wingdings" w:hAnsi="Wingdings"/>
      </w:rPr>
    </w:lvl>
    <w:lvl w:ilvl="5" w:tentative="0">
      <w:start w:val="1"/>
      <w:numFmt w:val="bullet"/>
      <w:pStyle w:val="464"/>
      <w:lvlText w:val=""/>
      <w:lvlJc w:val="left"/>
      <w:pPr>
        <w:tabs>
          <w:tab w:val="left" w:pos="2940"/>
        </w:tabs>
        <w:ind w:left="2940" w:hanging="420"/>
      </w:pPr>
      <w:rPr>
        <w:rFonts w:hint="default" w:ascii="Wingdings" w:hAnsi="Wingdings"/>
      </w:rPr>
    </w:lvl>
    <w:lvl w:ilvl="6" w:tentative="0">
      <w:start w:val="1"/>
      <w:numFmt w:val="bullet"/>
      <w:pStyle w:val="463"/>
      <w:lvlText w:val=""/>
      <w:lvlJc w:val="left"/>
      <w:pPr>
        <w:tabs>
          <w:tab w:val="left" w:pos="3360"/>
        </w:tabs>
        <w:ind w:left="3360" w:hanging="420"/>
      </w:pPr>
      <w:rPr>
        <w:rFonts w:hint="default" w:ascii="Wingdings" w:hAnsi="Wingdings"/>
      </w:rPr>
    </w:lvl>
    <w:lvl w:ilvl="7" w:tentative="0">
      <w:start w:val="1"/>
      <w:numFmt w:val="bullet"/>
      <w:pStyle w:val="540"/>
      <w:lvlText w:val=""/>
      <w:lvlJc w:val="left"/>
      <w:pPr>
        <w:tabs>
          <w:tab w:val="left" w:pos="3780"/>
        </w:tabs>
        <w:ind w:left="3780" w:hanging="420"/>
      </w:pPr>
      <w:rPr>
        <w:rFonts w:hint="default" w:ascii="Wingdings" w:hAnsi="Wingdings"/>
      </w:rPr>
    </w:lvl>
    <w:lvl w:ilvl="8" w:tentative="0">
      <w:start w:val="1"/>
      <w:numFmt w:val="bullet"/>
      <w:pStyle w:val="535"/>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11744E57"/>
    <w:multiLevelType w:val="multilevel"/>
    <w:tmpl w:val="11744E57"/>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4">
    <w:nsid w:val="434CA0FB"/>
    <w:multiLevelType w:val="singleLevel"/>
    <w:tmpl w:val="434CA0FB"/>
    <w:lvl w:ilvl="0" w:tentative="0">
      <w:start w:val="14"/>
      <w:numFmt w:val="decimal"/>
      <w:lvlText w:val="%1."/>
      <w:lvlJc w:val="left"/>
      <w:pPr>
        <w:tabs>
          <w:tab w:val="left" w:pos="312"/>
        </w:tabs>
      </w:pPr>
    </w:lvl>
  </w:abstractNum>
  <w:abstractNum w:abstractNumId="5">
    <w:nsid w:val="4B4B3C73"/>
    <w:multiLevelType w:val="multilevel"/>
    <w:tmpl w:val="4B4B3C73"/>
    <w:lvl w:ilvl="0" w:tentative="0">
      <w:start w:val="1"/>
      <w:numFmt w:val="decimal"/>
      <w:lvlText w:val="（%1）"/>
      <w:lvlJc w:val="left"/>
      <w:pPr>
        <w:ind w:left="1080"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6">
    <w:nsid w:val="578B3BD2"/>
    <w:multiLevelType w:val="multilevel"/>
    <w:tmpl w:val="578B3BD2"/>
    <w:lvl w:ilvl="0" w:tentative="0">
      <w:start w:val="1"/>
      <w:numFmt w:val="decimal"/>
      <w:pStyle w:val="474"/>
      <w:lvlText w:val="%1"/>
      <w:lvlJc w:val="left"/>
      <w:pPr>
        <w:tabs>
          <w:tab w:val="left" w:pos="480"/>
        </w:tabs>
        <w:ind w:left="480" w:hanging="480"/>
      </w:pPr>
      <w:rPr>
        <w:rFonts w:hint="eastAsia"/>
        <w:sz w:val="44"/>
        <w:szCs w:val="44"/>
      </w:rPr>
    </w:lvl>
    <w:lvl w:ilvl="1" w:tentative="0">
      <w:start w:val="1"/>
      <w:numFmt w:val="decimal"/>
      <w:pStyle w:val="451"/>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378"/>
      <w:lvlText w:val="%1.%2.%3.%4.%5"/>
      <w:lvlJc w:val="left"/>
      <w:pPr>
        <w:tabs>
          <w:tab w:val="left" w:pos="1080"/>
        </w:tabs>
        <w:ind w:left="1080" w:hanging="1080"/>
      </w:pPr>
      <w:rPr>
        <w:rFonts w:hint="default"/>
      </w:rPr>
    </w:lvl>
    <w:lvl w:ilvl="5" w:tentative="0">
      <w:start w:val="1"/>
      <w:numFmt w:val="decimal"/>
      <w:pStyle w:val="416"/>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6BB67409"/>
    <w:multiLevelType w:val="multilevel"/>
    <w:tmpl w:val="6BB67409"/>
    <w:lvl w:ilvl="0" w:tentative="0">
      <w:start w:val="1"/>
      <w:numFmt w:val="decimal"/>
      <w:lvlText w:val="（%1）"/>
      <w:lvlJc w:val="left"/>
      <w:pPr>
        <w:ind w:left="720" w:hanging="720"/>
      </w:pPr>
      <w:rPr>
        <w:rFonts w:hint="default" w:cs="Times New Roman"/>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3596DCC"/>
    <w:multiLevelType w:val="multilevel"/>
    <w:tmpl w:val="73596DCC"/>
    <w:lvl w:ilvl="0" w:tentative="0">
      <w:start w:val="1"/>
      <w:numFmt w:val="bullet"/>
      <w:pStyle w:val="475"/>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2"/>
  </w:num>
  <w:num w:numId="2">
    <w:abstractNumId w:val="3"/>
  </w:num>
  <w:num w:numId="3">
    <w:abstractNumId w:val="0"/>
  </w:num>
  <w:num w:numId="4">
    <w:abstractNumId w:val="1"/>
  </w:num>
  <w:num w:numId="5">
    <w:abstractNumId w:val="6"/>
  </w:num>
  <w:num w:numId="6">
    <w:abstractNumId w:val="8"/>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C85F20"/>
    <w:rsid w:val="04503042"/>
    <w:rsid w:val="071023CF"/>
    <w:rsid w:val="08980420"/>
    <w:rsid w:val="0EEB288C"/>
    <w:rsid w:val="0FD541B5"/>
    <w:rsid w:val="176D1177"/>
    <w:rsid w:val="1CDA59E5"/>
    <w:rsid w:val="1D480506"/>
    <w:rsid w:val="25D56865"/>
    <w:rsid w:val="27952F0E"/>
    <w:rsid w:val="2BE13E01"/>
    <w:rsid w:val="2BF8505C"/>
    <w:rsid w:val="31DA7378"/>
    <w:rsid w:val="39EAFB29"/>
    <w:rsid w:val="4057639D"/>
    <w:rsid w:val="450764A6"/>
    <w:rsid w:val="4EEC366D"/>
    <w:rsid w:val="58450D79"/>
    <w:rsid w:val="5D183CCD"/>
    <w:rsid w:val="5DD0619C"/>
    <w:rsid w:val="60771CEC"/>
    <w:rsid w:val="65805A64"/>
    <w:rsid w:val="67635CAC"/>
    <w:rsid w:val="6AD16E04"/>
    <w:rsid w:val="6EDF73DA"/>
    <w:rsid w:val="728933AC"/>
    <w:rsid w:val="78A84CE1"/>
    <w:rsid w:val="7AB76106"/>
    <w:rsid w:val="7D474AC8"/>
    <w:rsid w:val="7D4D3D12"/>
    <w:rsid w:val="7F2F5C4D"/>
    <w:rsid w:val="D9FBDE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3"/>
    <w:qFormat/>
    <w:uiPriority w:val="0"/>
    <w:pPr>
      <w:adjustRightInd/>
      <w:spacing w:line="360" w:lineRule="auto"/>
      <w:jc w:val="center"/>
      <w:outlineLvl w:val="0"/>
    </w:pPr>
    <w:rPr>
      <w:rFonts w:ascii="仿宋" w:hAnsi="仿宋" w:eastAsia="仿宋" w:cs="仿宋_GB2312"/>
      <w:b/>
      <w:color w:val="000000"/>
      <w:sz w:val="36"/>
      <w:szCs w:val="36"/>
    </w:rPr>
  </w:style>
  <w:style w:type="paragraph" w:styleId="3">
    <w:name w:val="heading 2"/>
    <w:basedOn w:val="1"/>
    <w:next w:val="1"/>
    <w:link w:val="642"/>
    <w:qFormat/>
    <w:uiPriority w:val="9"/>
    <w:pPr>
      <w:keepNext/>
      <w:keepLines/>
      <w:numPr>
        <w:ilvl w:val="0"/>
        <w:numId w:val="1"/>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2"/>
      </w:numPr>
      <w:spacing w:before="260" w:after="260" w:line="416" w:lineRule="auto"/>
      <w:outlineLvl w:val="2"/>
    </w:pPr>
    <w:rPr>
      <w:b/>
      <w:bCs/>
      <w:sz w:val="32"/>
      <w:szCs w:val="32"/>
    </w:rPr>
  </w:style>
  <w:style w:type="paragraph" w:styleId="5">
    <w:name w:val="heading 4"/>
    <w:basedOn w:val="1"/>
    <w:next w:val="1"/>
    <w:link w:val="213"/>
    <w:qFormat/>
    <w:uiPriority w:val="0"/>
    <w:pPr>
      <w:keepNext/>
      <w:keepLines/>
      <w:numPr>
        <w:ilvl w:val="3"/>
        <w:numId w:val="2"/>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176"/>
    <w:qFormat/>
    <w:uiPriority w:val="0"/>
    <w:pPr>
      <w:keepNext/>
      <w:keepLines/>
      <w:numPr>
        <w:ilvl w:val="4"/>
        <w:numId w:val="2"/>
      </w:numPr>
      <w:spacing w:before="280" w:after="290" w:line="376" w:lineRule="auto"/>
      <w:outlineLvl w:val="4"/>
    </w:pPr>
    <w:rPr>
      <w:b/>
      <w:bCs/>
      <w:sz w:val="28"/>
      <w:szCs w:val="28"/>
    </w:rPr>
  </w:style>
  <w:style w:type="paragraph" w:styleId="7">
    <w:name w:val="heading 6"/>
    <w:basedOn w:val="1"/>
    <w:next w:val="1"/>
    <w:link w:val="241"/>
    <w:qFormat/>
    <w:uiPriority w:val="0"/>
    <w:pPr>
      <w:keepNext/>
      <w:keepLines/>
      <w:numPr>
        <w:ilvl w:val="5"/>
        <w:numId w:val="2"/>
      </w:numPr>
      <w:spacing w:before="240" w:after="64" w:line="320" w:lineRule="auto"/>
      <w:outlineLvl w:val="5"/>
    </w:pPr>
    <w:rPr>
      <w:rFonts w:ascii="Arial" w:hAnsi="Arial" w:eastAsia="黑体"/>
      <w:b/>
      <w:bCs/>
      <w:sz w:val="24"/>
    </w:rPr>
  </w:style>
  <w:style w:type="paragraph" w:styleId="8">
    <w:name w:val="heading 7"/>
    <w:basedOn w:val="1"/>
    <w:next w:val="1"/>
    <w:link w:val="207"/>
    <w:qFormat/>
    <w:uiPriority w:val="0"/>
    <w:pPr>
      <w:keepNext/>
      <w:keepLines/>
      <w:numPr>
        <w:ilvl w:val="6"/>
        <w:numId w:val="2"/>
      </w:numPr>
      <w:spacing w:before="240" w:after="64" w:line="320" w:lineRule="auto"/>
      <w:outlineLvl w:val="6"/>
    </w:pPr>
    <w:rPr>
      <w:b/>
      <w:bCs/>
      <w:sz w:val="24"/>
    </w:rPr>
  </w:style>
  <w:style w:type="paragraph" w:styleId="9">
    <w:name w:val="heading 8"/>
    <w:basedOn w:val="1"/>
    <w:next w:val="1"/>
    <w:link w:val="111"/>
    <w:qFormat/>
    <w:uiPriority w:val="0"/>
    <w:pPr>
      <w:keepNext/>
      <w:keepLines/>
      <w:numPr>
        <w:ilvl w:val="7"/>
        <w:numId w:val="2"/>
      </w:numPr>
      <w:spacing w:before="240" w:after="64" w:line="320" w:lineRule="auto"/>
      <w:outlineLvl w:val="7"/>
    </w:pPr>
    <w:rPr>
      <w:rFonts w:ascii="Arial" w:hAnsi="Arial" w:eastAsia="黑体"/>
      <w:sz w:val="24"/>
    </w:rPr>
  </w:style>
  <w:style w:type="paragraph" w:styleId="10">
    <w:name w:val="heading 9"/>
    <w:basedOn w:val="1"/>
    <w:next w:val="1"/>
    <w:link w:val="124"/>
    <w:qFormat/>
    <w:uiPriority w:val="0"/>
    <w:pPr>
      <w:keepNext/>
      <w:keepLines/>
      <w:numPr>
        <w:ilvl w:val="8"/>
        <w:numId w:val="2"/>
      </w:numPr>
      <w:spacing w:before="240" w:after="64" w:line="320" w:lineRule="auto"/>
      <w:outlineLvl w:val="8"/>
    </w:pPr>
    <w:rPr>
      <w:rFonts w:ascii="Arial" w:hAnsi="Arial" w:eastAsia="黑体"/>
      <w:szCs w:val="21"/>
    </w:rPr>
  </w:style>
  <w:style w:type="character" w:default="1" w:styleId="63">
    <w:name w:val="Default Paragraph Font"/>
    <w:unhideWhenUsed/>
    <w:qFormat/>
    <w:uiPriority w:val="1"/>
  </w:style>
  <w:style w:type="table" w:default="1" w:styleId="61">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next w:val="1"/>
    <w:link w:val="243"/>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247"/>
    <w:qFormat/>
    <w:uiPriority w:val="99"/>
    <w:pPr>
      <w:jc w:val="left"/>
    </w:pPr>
  </w:style>
  <w:style w:type="paragraph" w:styleId="20">
    <w:name w:val="Salutation"/>
    <w:basedOn w:val="1"/>
    <w:next w:val="1"/>
    <w:link w:val="212"/>
    <w:qFormat/>
    <w:uiPriority w:val="0"/>
    <w:rPr>
      <w:rFonts w:ascii="仿宋_GB2312" w:eastAsia="仿宋_GB2312"/>
      <w:sz w:val="28"/>
      <w:szCs w:val="20"/>
    </w:rPr>
  </w:style>
  <w:style w:type="paragraph" w:styleId="21">
    <w:name w:val="Body Text 3"/>
    <w:basedOn w:val="1"/>
    <w:link w:val="185"/>
    <w:qFormat/>
    <w:uiPriority w:val="0"/>
    <w:pPr>
      <w:jc w:val="center"/>
    </w:pPr>
    <w:rPr>
      <w:szCs w:val="20"/>
    </w:rPr>
  </w:style>
  <w:style w:type="paragraph" w:styleId="22">
    <w:name w:val="Body Text"/>
    <w:basedOn w:val="1"/>
    <w:next w:val="23"/>
    <w:link w:val="121"/>
    <w:qFormat/>
    <w:uiPriority w:val="0"/>
    <w:pPr>
      <w:autoSpaceDE w:val="0"/>
      <w:autoSpaceDN w:val="0"/>
      <w:spacing w:line="360" w:lineRule="auto"/>
    </w:pPr>
    <w:rPr>
      <w:rFonts w:ascii="宋体"/>
      <w:sz w:val="24"/>
      <w:szCs w:val="21"/>
      <w:lang w:val="zh-CN"/>
    </w:rPr>
  </w:style>
  <w:style w:type="paragraph" w:styleId="23">
    <w:name w:val="Body Text First Indent"/>
    <w:basedOn w:val="22"/>
    <w:link w:val="134"/>
    <w:qFormat/>
    <w:uiPriority w:val="0"/>
    <w:pPr>
      <w:ind w:firstLine="420"/>
    </w:pPr>
    <w:rPr>
      <w:szCs w:val="20"/>
    </w:rPr>
  </w:style>
  <w:style w:type="paragraph" w:styleId="24">
    <w:name w:val="Body Text Indent"/>
    <w:basedOn w:val="1"/>
    <w:next w:val="1"/>
    <w:link w:val="102"/>
    <w:qFormat/>
    <w:uiPriority w:val="0"/>
    <w:pPr>
      <w:spacing w:line="480" w:lineRule="exact"/>
      <w:ind w:firstLine="480" w:firstLineChars="200"/>
    </w:pPr>
    <w:rPr>
      <w:rFonts w:ascii="宋体" w:hAnsi="宋体"/>
      <w:sz w:val="24"/>
    </w:rPr>
  </w:style>
  <w:style w:type="paragraph" w:styleId="25">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6">
    <w:name w:val="List 2"/>
    <w:basedOn w:val="1"/>
    <w:qFormat/>
    <w:uiPriority w:val="0"/>
    <w:pPr>
      <w:adjustRightInd/>
      <w:spacing w:line="360" w:lineRule="auto"/>
      <w:ind w:left="100" w:leftChars="200" w:hanging="200" w:hangingChars="200"/>
    </w:pPr>
    <w:rPr>
      <w:rFonts w:eastAsia="微软雅黑"/>
    </w:rPr>
  </w:style>
  <w:style w:type="paragraph" w:styleId="27">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8">
    <w:name w:val="List Bullet 2"/>
    <w:basedOn w:val="1"/>
    <w:qFormat/>
    <w:uiPriority w:val="0"/>
    <w:pPr>
      <w:autoSpaceDE w:val="0"/>
      <w:autoSpaceDN w:val="0"/>
      <w:ind w:left="420"/>
      <w:jc w:val="left"/>
    </w:pPr>
    <w:rPr>
      <w:rFonts w:ascii="宋体" w:hAnsi="宋体"/>
      <w:color w:val="000000"/>
      <w:kern w:val="0"/>
      <w:sz w:val="24"/>
      <w:szCs w:val="20"/>
    </w:rPr>
  </w:style>
  <w:style w:type="paragraph" w:styleId="29">
    <w:name w:val="HTML Address"/>
    <w:basedOn w:val="1"/>
    <w:link w:val="174"/>
    <w:qFormat/>
    <w:uiPriority w:val="0"/>
    <w:pPr>
      <w:widowControl/>
      <w:adjustRightInd/>
      <w:ind w:firstLine="200" w:firstLineChars="200"/>
      <w:jc w:val="left"/>
    </w:pPr>
    <w:rPr>
      <w:rFonts w:ascii="宋体" w:hAnsi="宋体"/>
      <w:i/>
      <w:iCs/>
      <w:kern w:val="0"/>
      <w:sz w:val="24"/>
    </w:rPr>
  </w:style>
  <w:style w:type="paragraph" w:styleId="30">
    <w:name w:val="toc 5"/>
    <w:basedOn w:val="1"/>
    <w:next w:val="1"/>
    <w:qFormat/>
    <w:uiPriority w:val="0"/>
    <w:pPr>
      <w:ind w:left="1680" w:leftChars="800"/>
    </w:pPr>
  </w:style>
  <w:style w:type="paragraph" w:styleId="31">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2">
    <w:name w:val="Plain Text"/>
    <w:basedOn w:val="1"/>
    <w:link w:val="223"/>
    <w:qFormat/>
    <w:uiPriority w:val="0"/>
    <w:rPr>
      <w:rFonts w:ascii="宋体" w:hAnsi="Courier New"/>
      <w:szCs w:val="20"/>
    </w:rPr>
  </w:style>
  <w:style w:type="paragraph" w:styleId="33">
    <w:name w:val="List Number 4"/>
    <w:basedOn w:val="1"/>
    <w:qFormat/>
    <w:uiPriority w:val="0"/>
    <w:pPr>
      <w:numPr>
        <w:ilvl w:val="0"/>
        <w:numId w:val="4"/>
      </w:numPr>
      <w:autoSpaceDE w:val="0"/>
      <w:autoSpaceDN w:val="0"/>
      <w:spacing w:line="360" w:lineRule="atLeast"/>
    </w:pPr>
    <w:rPr>
      <w:kern w:val="0"/>
      <w:sz w:val="24"/>
    </w:rPr>
  </w:style>
  <w:style w:type="paragraph" w:styleId="34">
    <w:name w:val="toc 8"/>
    <w:basedOn w:val="1"/>
    <w:next w:val="1"/>
    <w:qFormat/>
    <w:uiPriority w:val="0"/>
    <w:pPr>
      <w:ind w:left="2940" w:leftChars="1400"/>
    </w:pPr>
  </w:style>
  <w:style w:type="paragraph" w:styleId="35">
    <w:name w:val="Date"/>
    <w:basedOn w:val="1"/>
    <w:next w:val="1"/>
    <w:link w:val="210"/>
    <w:qFormat/>
    <w:uiPriority w:val="0"/>
    <w:pPr>
      <w:ind w:left="100" w:leftChars="2500"/>
    </w:pPr>
    <w:rPr>
      <w:rFonts w:ascii="宋体"/>
      <w:sz w:val="24"/>
      <w:szCs w:val="21"/>
      <w:lang w:val="zh-CN"/>
    </w:rPr>
  </w:style>
  <w:style w:type="paragraph" w:styleId="36">
    <w:name w:val="Body Text Indent 2"/>
    <w:basedOn w:val="1"/>
    <w:link w:val="82"/>
    <w:qFormat/>
    <w:uiPriority w:val="0"/>
    <w:pPr>
      <w:spacing w:line="360" w:lineRule="auto"/>
      <w:ind w:firstLine="601"/>
      <w:textAlignment w:val="baseline"/>
    </w:pPr>
    <w:rPr>
      <w:rFonts w:ascii="宋体"/>
      <w:kern w:val="0"/>
      <w:sz w:val="28"/>
      <w:szCs w:val="20"/>
    </w:rPr>
  </w:style>
  <w:style w:type="paragraph" w:styleId="37">
    <w:name w:val="Balloon Text"/>
    <w:basedOn w:val="1"/>
    <w:link w:val="248"/>
    <w:semiHidden/>
    <w:qFormat/>
    <w:uiPriority w:val="0"/>
    <w:rPr>
      <w:sz w:val="18"/>
      <w:szCs w:val="18"/>
    </w:rPr>
  </w:style>
  <w:style w:type="paragraph" w:styleId="38">
    <w:name w:val="footer"/>
    <w:basedOn w:val="1"/>
    <w:link w:val="631"/>
    <w:qFormat/>
    <w:uiPriority w:val="99"/>
    <w:pPr>
      <w:tabs>
        <w:tab w:val="center" w:pos="4153"/>
        <w:tab w:val="right" w:pos="8306"/>
      </w:tabs>
      <w:snapToGrid w:val="0"/>
      <w:jc w:val="left"/>
    </w:pPr>
    <w:rPr>
      <w:sz w:val="18"/>
      <w:szCs w:val="18"/>
    </w:rPr>
  </w:style>
  <w:style w:type="paragraph" w:styleId="39">
    <w:name w:val="envelope return"/>
    <w:basedOn w:val="1"/>
    <w:unhideWhenUsed/>
    <w:qFormat/>
    <w:uiPriority w:val="99"/>
    <w:pPr>
      <w:snapToGrid w:val="0"/>
    </w:pPr>
    <w:rPr>
      <w:rFonts w:ascii="Arial" w:hAnsi="Arial"/>
    </w:rPr>
  </w:style>
  <w:style w:type="paragraph" w:styleId="40">
    <w:name w:val="header"/>
    <w:basedOn w:val="1"/>
    <w:link w:val="632"/>
    <w:qFormat/>
    <w:uiPriority w:val="99"/>
    <w:pPr>
      <w:pBdr>
        <w:bottom w:val="single" w:color="auto" w:sz="6" w:space="1"/>
      </w:pBdr>
      <w:tabs>
        <w:tab w:val="center" w:pos="4153"/>
        <w:tab w:val="right" w:pos="8306"/>
      </w:tabs>
      <w:snapToGrid w:val="0"/>
      <w:jc w:val="center"/>
    </w:pPr>
    <w:rPr>
      <w:sz w:val="18"/>
      <w:szCs w:val="18"/>
    </w:rPr>
  </w:style>
  <w:style w:type="paragraph" w:styleId="41">
    <w:name w:val="Signature"/>
    <w:basedOn w:val="1"/>
    <w:link w:val="258"/>
    <w:qFormat/>
    <w:uiPriority w:val="0"/>
    <w:pPr>
      <w:spacing w:after="600" w:line="312" w:lineRule="atLeast"/>
      <w:jc w:val="center"/>
      <w:textAlignment w:val="baseline"/>
    </w:pPr>
    <w:rPr>
      <w:rFonts w:eastAsia="仿宋_GB2312"/>
      <w:kern w:val="0"/>
      <w:sz w:val="24"/>
      <w:szCs w:val="20"/>
    </w:rPr>
  </w:style>
  <w:style w:type="paragraph" w:styleId="42">
    <w:name w:val="toc 1"/>
    <w:basedOn w:val="1"/>
    <w:next w:val="1"/>
    <w:qFormat/>
    <w:uiPriority w:val="0"/>
  </w:style>
  <w:style w:type="paragraph" w:styleId="43">
    <w:name w:val="toc 4"/>
    <w:basedOn w:val="1"/>
    <w:next w:val="1"/>
    <w:qFormat/>
    <w:uiPriority w:val="0"/>
    <w:pPr>
      <w:ind w:left="1260" w:leftChars="600"/>
    </w:pPr>
  </w:style>
  <w:style w:type="paragraph" w:styleId="44">
    <w:name w:val="index heading"/>
    <w:basedOn w:val="1"/>
    <w:next w:val="45"/>
    <w:qFormat/>
    <w:uiPriority w:val="0"/>
    <w:pPr>
      <w:adjustRightInd/>
      <w:ind w:firstLine="200" w:firstLineChars="200"/>
    </w:pPr>
  </w:style>
  <w:style w:type="paragraph" w:styleId="45">
    <w:name w:val="index 1"/>
    <w:basedOn w:val="1"/>
    <w:next w:val="1"/>
    <w:qFormat/>
    <w:uiPriority w:val="0"/>
    <w:pPr>
      <w:adjustRightInd/>
      <w:spacing w:line="360" w:lineRule="auto"/>
      <w:ind w:firstLine="200" w:firstLineChars="200"/>
      <w:jc w:val="center"/>
    </w:pPr>
    <w:rPr>
      <w:sz w:val="24"/>
      <w:szCs w:val="20"/>
    </w:rPr>
  </w:style>
  <w:style w:type="paragraph" w:styleId="46">
    <w:name w:val="Subtitle"/>
    <w:link w:val="101"/>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7">
    <w:name w:val="List Number 5"/>
    <w:basedOn w:val="1"/>
    <w:qFormat/>
    <w:uiPriority w:val="0"/>
    <w:pPr>
      <w:tabs>
        <w:tab w:val="left" w:pos="902"/>
      </w:tabs>
      <w:adjustRightInd/>
      <w:spacing w:line="400" w:lineRule="exact"/>
      <w:ind w:left="902" w:hanging="420"/>
    </w:pPr>
    <w:rPr>
      <w:sz w:val="24"/>
      <w:szCs w:val="20"/>
    </w:rPr>
  </w:style>
  <w:style w:type="paragraph" w:styleId="48">
    <w:name w:val="List"/>
    <w:basedOn w:val="1"/>
    <w:qFormat/>
    <w:uiPriority w:val="0"/>
    <w:pPr>
      <w:ind w:left="200" w:hanging="200" w:hangingChars="200"/>
    </w:pPr>
  </w:style>
  <w:style w:type="paragraph" w:styleId="49">
    <w:name w:val="footnote text"/>
    <w:basedOn w:val="15"/>
    <w:link w:val="237"/>
    <w:qFormat/>
    <w:uiPriority w:val="0"/>
    <w:pPr>
      <w:adjustRightInd/>
      <w:snapToGrid/>
      <w:spacing w:before="60" w:after="60" w:line="300" w:lineRule="exact"/>
      <w:ind w:firstLine="0"/>
    </w:pPr>
    <w:rPr>
      <w:rFonts w:ascii="Times New Roman"/>
      <w:color w:val="0000FF"/>
      <w:kern w:val="0"/>
      <w:sz w:val="21"/>
    </w:rPr>
  </w:style>
  <w:style w:type="paragraph" w:styleId="50">
    <w:name w:val="toc 6"/>
    <w:basedOn w:val="1"/>
    <w:next w:val="1"/>
    <w:qFormat/>
    <w:uiPriority w:val="0"/>
    <w:pPr>
      <w:ind w:left="2100" w:leftChars="1000"/>
    </w:pPr>
  </w:style>
  <w:style w:type="paragraph" w:styleId="51">
    <w:name w:val="List 5"/>
    <w:basedOn w:val="1"/>
    <w:qFormat/>
    <w:uiPriority w:val="0"/>
    <w:pPr>
      <w:adjustRightInd/>
      <w:ind w:left="100" w:leftChars="800" w:hanging="200" w:hangingChars="200"/>
    </w:pPr>
  </w:style>
  <w:style w:type="paragraph" w:styleId="52">
    <w:name w:val="Body Text Indent 3"/>
    <w:basedOn w:val="1"/>
    <w:link w:val="194"/>
    <w:qFormat/>
    <w:uiPriority w:val="0"/>
    <w:pPr>
      <w:spacing w:line="360" w:lineRule="auto"/>
      <w:ind w:firstLine="420"/>
    </w:pPr>
    <w:rPr>
      <w:sz w:val="24"/>
      <w:szCs w:val="20"/>
    </w:rPr>
  </w:style>
  <w:style w:type="paragraph" w:styleId="53">
    <w:name w:val="toc 2"/>
    <w:basedOn w:val="1"/>
    <w:next w:val="1"/>
    <w:qFormat/>
    <w:uiPriority w:val="0"/>
    <w:pPr>
      <w:ind w:left="420" w:leftChars="200"/>
    </w:pPr>
  </w:style>
  <w:style w:type="paragraph" w:styleId="54">
    <w:name w:val="toc 9"/>
    <w:basedOn w:val="1"/>
    <w:next w:val="1"/>
    <w:qFormat/>
    <w:uiPriority w:val="0"/>
    <w:pPr>
      <w:ind w:left="3360" w:leftChars="1600"/>
    </w:pPr>
  </w:style>
  <w:style w:type="paragraph" w:styleId="55">
    <w:name w:val="Body Text 2"/>
    <w:basedOn w:val="1"/>
    <w:qFormat/>
    <w:uiPriority w:val="0"/>
    <w:pPr>
      <w:spacing w:after="120" w:line="480" w:lineRule="auto"/>
    </w:pPr>
  </w:style>
  <w:style w:type="paragraph" w:styleId="56">
    <w:name w:val="HTML Preformatted"/>
    <w:basedOn w:val="1"/>
    <w:link w:val="10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7">
    <w:name w:val="Normal (Web)"/>
    <w:basedOn w:val="1"/>
    <w:qFormat/>
    <w:uiPriority w:val="99"/>
    <w:pPr>
      <w:widowControl/>
      <w:spacing w:before="100" w:beforeAutospacing="1" w:after="100" w:afterAutospacing="1"/>
      <w:jc w:val="left"/>
    </w:pPr>
    <w:rPr>
      <w:rFonts w:ascii="宋体" w:hAnsi="宋体"/>
      <w:kern w:val="0"/>
      <w:sz w:val="24"/>
    </w:rPr>
  </w:style>
  <w:style w:type="paragraph" w:styleId="58">
    <w:name w:val="Title"/>
    <w:basedOn w:val="1"/>
    <w:next w:val="1"/>
    <w:qFormat/>
    <w:uiPriority w:val="0"/>
    <w:pPr>
      <w:widowControl/>
      <w:overflowPunct w:val="0"/>
      <w:autoSpaceDE w:val="0"/>
      <w:autoSpaceDN w:val="0"/>
      <w:jc w:val="center"/>
      <w:textAlignment w:val="baseline"/>
    </w:pPr>
    <w:rPr>
      <w:b/>
      <w:kern w:val="0"/>
      <w:sz w:val="24"/>
      <w:szCs w:val="20"/>
      <w:lang w:val="en-GB"/>
    </w:rPr>
  </w:style>
  <w:style w:type="paragraph" w:styleId="59">
    <w:name w:val="annotation subject"/>
    <w:basedOn w:val="19"/>
    <w:next w:val="19"/>
    <w:semiHidden/>
    <w:qFormat/>
    <w:uiPriority w:val="0"/>
    <w:rPr>
      <w:b/>
      <w:bCs/>
    </w:rPr>
  </w:style>
  <w:style w:type="paragraph" w:styleId="60">
    <w:name w:val="Body Text First Indent 2"/>
    <w:basedOn w:val="24"/>
    <w:link w:val="245"/>
    <w:qFormat/>
    <w:uiPriority w:val="0"/>
    <w:pPr>
      <w:adjustRightInd/>
      <w:spacing w:after="120" w:line="240" w:lineRule="auto"/>
      <w:ind w:left="420" w:leftChars="200" w:firstLine="210"/>
    </w:pPr>
    <w:rPr>
      <w:sz w:val="21"/>
    </w:rPr>
  </w:style>
  <w:style w:type="table" w:styleId="62">
    <w:name w:val="Table Grid"/>
    <w:basedOn w:val="6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4">
    <w:name w:val="Strong"/>
    <w:qFormat/>
    <w:uiPriority w:val="22"/>
    <w:rPr>
      <w:b/>
      <w:bCs/>
    </w:rPr>
  </w:style>
  <w:style w:type="character" w:styleId="65">
    <w:name w:val="page number"/>
    <w:basedOn w:val="63"/>
    <w:qFormat/>
    <w:uiPriority w:val="0"/>
    <w:rPr>
      <w:rFonts w:ascii="Arial" w:hAnsi="Arial" w:eastAsia="黑体" w:cs="Arial"/>
      <w:snapToGrid w:val="0"/>
      <w:kern w:val="0"/>
      <w:szCs w:val="21"/>
    </w:rPr>
  </w:style>
  <w:style w:type="character" w:styleId="66">
    <w:name w:val="FollowedHyperlink"/>
    <w:qFormat/>
    <w:uiPriority w:val="0"/>
    <w:rPr>
      <w:rFonts w:ascii="Arial" w:hAnsi="Arial" w:eastAsia="黑体" w:cs="Arial"/>
      <w:snapToGrid w:val="0"/>
      <w:color w:val="000000"/>
      <w:kern w:val="0"/>
      <w:sz w:val="18"/>
      <w:szCs w:val="18"/>
      <w:u w:val="none"/>
    </w:rPr>
  </w:style>
  <w:style w:type="character" w:styleId="67">
    <w:name w:val="Emphasis"/>
    <w:qFormat/>
    <w:uiPriority w:val="0"/>
    <w:rPr>
      <w:color w:val="CC0033"/>
    </w:rPr>
  </w:style>
  <w:style w:type="character" w:styleId="68">
    <w:name w:val="line number"/>
    <w:basedOn w:val="63"/>
    <w:qFormat/>
    <w:uiPriority w:val="0"/>
    <w:rPr>
      <w:rFonts w:ascii="Arial" w:hAnsi="Arial" w:eastAsia="黑体" w:cs="Arial"/>
      <w:snapToGrid w:val="0"/>
      <w:kern w:val="0"/>
      <w:szCs w:val="21"/>
    </w:rPr>
  </w:style>
  <w:style w:type="character" w:styleId="69">
    <w:name w:val="Hyperlink"/>
    <w:qFormat/>
    <w:uiPriority w:val="99"/>
    <w:rPr>
      <w:rFonts w:ascii="Arial" w:hAnsi="Arial" w:eastAsia="黑体" w:cs="Arial"/>
      <w:snapToGrid w:val="0"/>
      <w:color w:val="000000"/>
      <w:kern w:val="0"/>
      <w:sz w:val="18"/>
      <w:szCs w:val="18"/>
      <w:u w:val="none"/>
    </w:rPr>
  </w:style>
  <w:style w:type="character" w:styleId="70">
    <w:name w:val="HTML Code"/>
    <w:qFormat/>
    <w:uiPriority w:val="0"/>
    <w:rPr>
      <w:rFonts w:ascii="黑体" w:hAnsi="Courier New" w:eastAsia="黑体" w:cs="楷体_GB2312"/>
      <w:sz w:val="20"/>
      <w:szCs w:val="20"/>
    </w:rPr>
  </w:style>
  <w:style w:type="character" w:styleId="71">
    <w:name w:val="annotation reference"/>
    <w:qFormat/>
    <w:uiPriority w:val="99"/>
    <w:rPr>
      <w:sz w:val="21"/>
      <w:szCs w:val="21"/>
    </w:rPr>
  </w:style>
  <w:style w:type="paragraph" w:customStyle="1" w:styleId="72">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character" w:customStyle="1" w:styleId="73">
    <w:name w:val="solutionfonts"/>
    <w:qFormat/>
    <w:uiPriority w:val="0"/>
  </w:style>
  <w:style w:type="character" w:customStyle="1" w:styleId="74">
    <w:name w:val="Font Style82"/>
    <w:qFormat/>
    <w:uiPriority w:val="99"/>
    <w:rPr>
      <w:rFonts w:ascii="宋体" w:eastAsia="宋体" w:cs="宋体"/>
      <w:color w:val="000000"/>
      <w:sz w:val="14"/>
      <w:szCs w:val="14"/>
    </w:rPr>
  </w:style>
  <w:style w:type="character" w:customStyle="1" w:styleId="75">
    <w:name w:val="此正文 Char"/>
    <w:link w:val="76"/>
    <w:qFormat/>
    <w:uiPriority w:val="0"/>
    <w:rPr>
      <w:kern w:val="2"/>
      <w:sz w:val="24"/>
      <w:szCs w:val="24"/>
    </w:rPr>
  </w:style>
  <w:style w:type="paragraph" w:customStyle="1" w:styleId="76">
    <w:name w:val="此正文"/>
    <w:basedOn w:val="1"/>
    <w:link w:val="75"/>
    <w:qFormat/>
    <w:uiPriority w:val="0"/>
    <w:pPr>
      <w:adjustRightInd/>
      <w:spacing w:line="360" w:lineRule="auto"/>
      <w:ind w:firstLine="200" w:firstLineChars="200"/>
    </w:pPr>
    <w:rPr>
      <w:sz w:val="24"/>
    </w:rPr>
  </w:style>
  <w:style w:type="character" w:customStyle="1" w:styleId="77">
    <w:name w:val="Char Char10"/>
    <w:semiHidden/>
    <w:qFormat/>
    <w:uiPriority w:val="0"/>
    <w:rPr>
      <w:rFonts w:ascii="宋体" w:hAnsi="宋体"/>
      <w:kern w:val="2"/>
      <w:sz w:val="21"/>
      <w:szCs w:val="24"/>
      <w:lang w:val="en-US" w:eastAsia="zh-CN"/>
    </w:rPr>
  </w:style>
  <w:style w:type="character" w:customStyle="1" w:styleId="78">
    <w:name w:val="h Char Char"/>
    <w:qFormat/>
    <w:uiPriority w:val="0"/>
    <w:rPr>
      <w:rFonts w:eastAsia="宋体"/>
      <w:kern w:val="2"/>
      <w:sz w:val="18"/>
      <w:lang w:val="en-US" w:eastAsia="zh-CN" w:bidi="ar-SA"/>
    </w:rPr>
  </w:style>
  <w:style w:type="character" w:customStyle="1" w:styleId="79">
    <w:name w:val="Bold"/>
    <w:qFormat/>
    <w:uiPriority w:val="0"/>
    <w:rPr>
      <w:rFonts w:ascii="Arial" w:hAnsi="Arial" w:eastAsia="黑体" w:cs="Times New Roman"/>
      <w:b/>
      <w:kern w:val="2"/>
      <w:sz w:val="32"/>
      <w:szCs w:val="32"/>
      <w:lang w:val="en-US" w:eastAsia="zh-CN" w:bidi="ar-SA"/>
    </w:rPr>
  </w:style>
  <w:style w:type="character" w:customStyle="1" w:styleId="80">
    <w:name w:val="Ò³Ã¼ Char Char"/>
    <w:qFormat/>
    <w:uiPriority w:val="0"/>
    <w:rPr>
      <w:rFonts w:eastAsia="宋体"/>
      <w:kern w:val="2"/>
      <w:sz w:val="18"/>
      <w:lang w:val="en-US" w:eastAsia="zh-CN" w:bidi="ar-SA"/>
    </w:rPr>
  </w:style>
  <w:style w:type="character" w:customStyle="1" w:styleId="81">
    <w:name w:val="标准正文格式 Char"/>
    <w:qFormat/>
    <w:uiPriority w:val="0"/>
    <w:rPr>
      <w:rFonts w:ascii="宋体" w:eastAsia="仿宋_GB2312" w:cs="宋体"/>
      <w:color w:val="000000"/>
      <w:sz w:val="24"/>
      <w:lang w:val="en-US" w:eastAsia="zh-CN" w:bidi="ar-SA"/>
    </w:rPr>
  </w:style>
  <w:style w:type="character" w:customStyle="1" w:styleId="82">
    <w:name w:val="正文文本缩进 2 字符"/>
    <w:link w:val="36"/>
    <w:qFormat/>
    <w:uiPriority w:val="0"/>
    <w:rPr>
      <w:rFonts w:ascii="宋体"/>
      <w:sz w:val="28"/>
    </w:rPr>
  </w:style>
  <w:style w:type="character" w:customStyle="1" w:styleId="83">
    <w:name w:val="Char Char8"/>
    <w:qFormat/>
    <w:uiPriority w:val="0"/>
    <w:rPr>
      <w:rFonts w:eastAsia="宋体"/>
      <w:b/>
      <w:sz w:val="24"/>
      <w:lang w:val="en-GB" w:eastAsia="zh-CN"/>
    </w:rPr>
  </w:style>
  <w:style w:type="character" w:customStyle="1" w:styleId="84">
    <w:name w:val="No Spacing Char"/>
    <w:link w:val="85"/>
    <w:qFormat/>
    <w:uiPriority w:val="1"/>
    <w:rPr>
      <w:rFonts w:ascii="Calibri" w:hAnsi="Calibri"/>
      <w:sz w:val="22"/>
      <w:szCs w:val="22"/>
      <w:lang w:val="en-US" w:eastAsia="zh-CN" w:bidi="ar-SA"/>
    </w:rPr>
  </w:style>
  <w:style w:type="paragraph" w:customStyle="1" w:styleId="85">
    <w:name w:val="无间隔1"/>
    <w:link w:val="84"/>
    <w:qFormat/>
    <w:uiPriority w:val="1"/>
    <w:rPr>
      <w:rFonts w:ascii="Calibri" w:hAnsi="Calibri" w:eastAsia="宋体" w:cs="Times New Roman"/>
      <w:sz w:val="22"/>
      <w:szCs w:val="22"/>
      <w:lang w:val="en-US" w:eastAsia="zh-CN" w:bidi="ar-SA"/>
    </w:rPr>
  </w:style>
  <w:style w:type="character" w:customStyle="1" w:styleId="86">
    <w:name w:val="blue1"/>
    <w:basedOn w:val="63"/>
    <w:qFormat/>
    <w:uiPriority w:val="0"/>
    <w:rPr>
      <w:rFonts w:ascii="Arial" w:hAnsi="Arial" w:eastAsia="黑体" w:cs="Arial"/>
      <w:snapToGrid w:val="0"/>
      <w:kern w:val="0"/>
      <w:szCs w:val="21"/>
    </w:rPr>
  </w:style>
  <w:style w:type="character" w:customStyle="1" w:styleId="87">
    <w:name w:val="highlight1"/>
    <w:qFormat/>
    <w:uiPriority w:val="0"/>
    <w:rPr>
      <w:rFonts w:ascii="仿宋_GB2312" w:eastAsia="微软雅黑"/>
      <w:b/>
      <w:kern w:val="2"/>
      <w:sz w:val="23"/>
      <w:szCs w:val="23"/>
      <w:lang w:val="en-US" w:eastAsia="zh-CN" w:bidi="ar-SA"/>
    </w:rPr>
  </w:style>
  <w:style w:type="character" w:customStyle="1" w:styleId="88">
    <w:name w:val="ca-131"/>
    <w:qFormat/>
    <w:uiPriority w:val="0"/>
    <w:rPr>
      <w:rFonts w:hint="eastAsia" w:ascii="仿宋_GB2312" w:eastAsia="仿宋_GB2312"/>
      <w:b/>
      <w:bCs/>
      <w:color w:val="000000"/>
      <w:spacing w:val="-20"/>
      <w:sz w:val="24"/>
      <w:szCs w:val="24"/>
    </w:rPr>
  </w:style>
  <w:style w:type="character" w:customStyle="1" w:styleId="89">
    <w:name w:val="h3 Char"/>
    <w:qFormat/>
    <w:uiPriority w:val="0"/>
    <w:rPr>
      <w:rFonts w:eastAsia="宋体"/>
      <w:b/>
      <w:kern w:val="2"/>
      <w:sz w:val="32"/>
      <w:lang w:val="en-US" w:eastAsia="zh-CN" w:bidi="ar-SA"/>
    </w:rPr>
  </w:style>
  <w:style w:type="character" w:customStyle="1" w:styleId="90">
    <w:name w:val="Char Char12"/>
    <w:qFormat/>
    <w:uiPriority w:val="0"/>
    <w:rPr>
      <w:rFonts w:ascii="仿宋_GB2312" w:eastAsia="仿宋_GB2312"/>
      <w:b/>
      <w:bCs/>
      <w:kern w:val="2"/>
      <w:sz w:val="24"/>
      <w:szCs w:val="24"/>
      <w:lang w:val="zh-CN" w:eastAsia="zh-CN" w:bidi="ar-SA"/>
    </w:rPr>
  </w:style>
  <w:style w:type="character" w:customStyle="1" w:styleId="91">
    <w:name w:val="Comment Text Char"/>
    <w:semiHidden/>
    <w:qFormat/>
    <w:locked/>
    <w:uiPriority w:val="0"/>
    <w:rPr>
      <w:rFonts w:ascii="宋体" w:hAnsi="宋体" w:eastAsia="宋体"/>
      <w:kern w:val="2"/>
      <w:sz w:val="24"/>
      <w:lang w:val="en-US" w:eastAsia="zh-CN" w:bidi="ar-SA"/>
    </w:rPr>
  </w:style>
  <w:style w:type="character" w:customStyle="1" w:styleId="92">
    <w:name w:val="批注文字 Char"/>
    <w:qFormat/>
    <w:uiPriority w:val="99"/>
    <w:rPr>
      <w:kern w:val="2"/>
      <w:sz w:val="21"/>
      <w:szCs w:val="24"/>
    </w:rPr>
  </w:style>
  <w:style w:type="character" w:customStyle="1" w:styleId="93">
    <w:name w:val="仿宋正文 Char"/>
    <w:link w:val="94"/>
    <w:qFormat/>
    <w:uiPriority w:val="0"/>
    <w:rPr>
      <w:rFonts w:ascii="仿宋_GB2312" w:eastAsia="仿宋_GB2312"/>
      <w:kern w:val="2"/>
      <w:sz w:val="24"/>
      <w:lang w:val="en-US" w:eastAsia="zh-CN" w:bidi="ar-SA"/>
    </w:rPr>
  </w:style>
  <w:style w:type="paragraph" w:customStyle="1" w:styleId="94">
    <w:name w:val="仿宋正文"/>
    <w:basedOn w:val="1"/>
    <w:link w:val="93"/>
    <w:qFormat/>
    <w:uiPriority w:val="0"/>
    <w:pPr>
      <w:adjustRightInd/>
      <w:spacing w:line="360" w:lineRule="auto"/>
      <w:ind w:firstLine="480" w:firstLineChars="200"/>
    </w:pPr>
    <w:rPr>
      <w:rFonts w:ascii="仿宋_GB2312" w:eastAsia="仿宋_GB2312"/>
      <w:sz w:val="24"/>
      <w:szCs w:val="20"/>
    </w:rPr>
  </w:style>
  <w:style w:type="character" w:customStyle="1" w:styleId="95">
    <w:name w:val="style91"/>
    <w:qFormat/>
    <w:uiPriority w:val="0"/>
    <w:rPr>
      <w:color w:val="333333"/>
    </w:rPr>
  </w:style>
  <w:style w:type="character" w:customStyle="1" w:styleId="96">
    <w:name w:val="Char Char4"/>
    <w:qFormat/>
    <w:uiPriority w:val="0"/>
    <w:rPr>
      <w:rFonts w:eastAsia="宋体"/>
      <w:b/>
      <w:sz w:val="24"/>
      <w:lang w:val="en-GB" w:eastAsia="zh-CN" w:bidi="ar-SA"/>
    </w:rPr>
  </w:style>
  <w:style w:type="character" w:customStyle="1" w:styleId="97">
    <w:name w:val="Char Char2"/>
    <w:qFormat/>
    <w:uiPriority w:val="0"/>
    <w:rPr>
      <w:rFonts w:eastAsia="宋体"/>
      <w:b/>
      <w:bCs/>
      <w:kern w:val="2"/>
      <w:sz w:val="21"/>
      <w:szCs w:val="24"/>
      <w:lang w:val="en-US" w:eastAsia="zh-CN" w:bidi="ar-SA"/>
    </w:rPr>
  </w:style>
  <w:style w:type="character" w:customStyle="1" w:styleId="98">
    <w:name w:val="正文 项目2 Char"/>
    <w:basedOn w:val="99"/>
    <w:qFormat/>
    <w:uiPriority w:val="0"/>
    <w:rPr>
      <w:rFonts w:ascii="仿宋_GB2312" w:hAnsi="仿宋_GB2312" w:eastAsia="仿宋_GB2312"/>
      <w:kern w:val="2"/>
      <w:sz w:val="24"/>
      <w:lang w:bidi="ar-SA"/>
    </w:rPr>
  </w:style>
  <w:style w:type="character" w:customStyle="1" w:styleId="99">
    <w:name w:val="正文 项目 Char"/>
    <w:qFormat/>
    <w:uiPriority w:val="0"/>
    <w:rPr>
      <w:rFonts w:ascii="仿宋_GB2312" w:hAnsi="仿宋_GB2312" w:eastAsia="仿宋_GB2312"/>
      <w:kern w:val="2"/>
      <w:sz w:val="24"/>
      <w:lang w:bidi="ar-SA"/>
    </w:rPr>
  </w:style>
  <w:style w:type="character" w:customStyle="1" w:styleId="100">
    <w:name w:val="页眉 Char1"/>
    <w:qFormat/>
    <w:uiPriority w:val="0"/>
    <w:rPr>
      <w:rFonts w:eastAsia="宋体"/>
      <w:kern w:val="2"/>
      <w:sz w:val="18"/>
      <w:szCs w:val="18"/>
      <w:lang w:val="en-US" w:eastAsia="zh-CN" w:bidi="ar-SA"/>
    </w:rPr>
  </w:style>
  <w:style w:type="character" w:customStyle="1" w:styleId="101">
    <w:name w:val="副标题 字符"/>
    <w:link w:val="46"/>
    <w:qFormat/>
    <w:uiPriority w:val="0"/>
    <w:rPr>
      <w:rFonts w:ascii="Arial" w:hAnsi="Arial" w:eastAsia="隶书"/>
      <w:b/>
      <w:bCs/>
      <w:kern w:val="28"/>
      <w:sz w:val="44"/>
      <w:szCs w:val="32"/>
      <w:lang w:val="en-US" w:eastAsia="zh-CN" w:bidi="ar-SA"/>
    </w:rPr>
  </w:style>
  <w:style w:type="character" w:customStyle="1" w:styleId="102">
    <w:name w:val="正文文本缩进 字符1"/>
    <w:link w:val="24"/>
    <w:qFormat/>
    <w:uiPriority w:val="0"/>
    <w:rPr>
      <w:rFonts w:ascii="宋体" w:hAnsi="宋体"/>
      <w:kern w:val="2"/>
      <w:sz w:val="24"/>
      <w:szCs w:val="24"/>
    </w:rPr>
  </w:style>
  <w:style w:type="character" w:customStyle="1" w:styleId="103">
    <w:name w:val="big1"/>
    <w:qFormat/>
    <w:uiPriority w:val="0"/>
    <w:rPr>
      <w:rFonts w:hint="eastAsia" w:ascii="宋体" w:hAnsi="宋体" w:eastAsia="宋体"/>
      <w:color w:val="333333"/>
      <w:sz w:val="22"/>
      <w:szCs w:val="22"/>
    </w:rPr>
  </w:style>
  <w:style w:type="character" w:customStyle="1" w:styleId="104">
    <w:name w:val="h Char Char1"/>
    <w:qFormat/>
    <w:uiPriority w:val="0"/>
    <w:rPr>
      <w:rFonts w:eastAsia="宋体"/>
      <w:kern w:val="2"/>
      <w:sz w:val="18"/>
      <w:szCs w:val="18"/>
      <w:lang w:val="en-US" w:eastAsia="zh-CN" w:bidi="ar-SA"/>
    </w:rPr>
  </w:style>
  <w:style w:type="character" w:customStyle="1" w:styleId="105">
    <w:name w:val="样式8 Char"/>
    <w:qFormat/>
    <w:uiPriority w:val="0"/>
    <w:rPr>
      <w:rFonts w:ascii="仿宋_GB2312" w:hAnsi="宋体" w:eastAsia="仿宋_GB2312"/>
      <w:b/>
      <w:bCs/>
      <w:kern w:val="2"/>
      <w:sz w:val="24"/>
      <w:szCs w:val="24"/>
    </w:rPr>
  </w:style>
  <w:style w:type="character" w:customStyle="1" w:styleId="106">
    <w:name w:val="HTML 预设格式 字符"/>
    <w:link w:val="56"/>
    <w:qFormat/>
    <w:uiPriority w:val="0"/>
    <w:rPr>
      <w:rFonts w:ascii="黑体" w:hAnsi="Courier New" w:eastAsia="黑体"/>
    </w:rPr>
  </w:style>
  <w:style w:type="character" w:customStyle="1" w:styleId="107">
    <w:name w:val="页脚 Char1"/>
    <w:qFormat/>
    <w:uiPriority w:val="0"/>
    <w:rPr>
      <w:rFonts w:eastAsia="宋体"/>
      <w:kern w:val="2"/>
      <w:sz w:val="18"/>
      <w:szCs w:val="18"/>
      <w:lang w:val="en-US" w:eastAsia="zh-CN" w:bidi="ar-SA"/>
    </w:rPr>
  </w:style>
  <w:style w:type="character" w:customStyle="1" w:styleId="108">
    <w:name w:val="myp11"/>
    <w:qFormat/>
    <w:uiPriority w:val="0"/>
    <w:rPr>
      <w:rFonts w:ascii="仿宋_GB2312" w:eastAsia="微软雅黑"/>
      <w:b/>
      <w:kern w:val="2"/>
      <w:sz w:val="32"/>
      <w:szCs w:val="32"/>
      <w:lang w:val="en-US" w:eastAsia="zh-CN" w:bidi="ar-SA"/>
    </w:rPr>
  </w:style>
  <w:style w:type="character" w:customStyle="1" w:styleId="109">
    <w:name w:val="正文文本 2 Char"/>
    <w:qFormat/>
    <w:uiPriority w:val="0"/>
    <w:rPr>
      <w:rFonts w:eastAsia="宋体"/>
      <w:kern w:val="2"/>
      <w:sz w:val="21"/>
      <w:szCs w:val="24"/>
      <w:lang w:val="en-US" w:eastAsia="zh-CN" w:bidi="ar-SA"/>
    </w:rPr>
  </w:style>
  <w:style w:type="character" w:customStyle="1" w:styleId="110">
    <w:name w:val="tw4winTerm"/>
    <w:qFormat/>
    <w:uiPriority w:val="0"/>
    <w:rPr>
      <w:color w:val="0000FF"/>
    </w:rPr>
  </w:style>
  <w:style w:type="character" w:customStyle="1" w:styleId="111">
    <w:name w:val="标题 8 字符"/>
    <w:link w:val="9"/>
    <w:qFormat/>
    <w:uiPriority w:val="0"/>
    <w:rPr>
      <w:rFonts w:ascii="Arial" w:hAnsi="Arial" w:eastAsia="黑体"/>
      <w:kern w:val="2"/>
      <w:sz w:val="24"/>
      <w:szCs w:val="24"/>
    </w:rPr>
  </w:style>
  <w:style w:type="character" w:customStyle="1" w:styleId="112">
    <w:name w:val="标题 2 Char Char"/>
    <w:qFormat/>
    <w:uiPriority w:val="0"/>
    <w:rPr>
      <w:rFonts w:ascii="楷体_GB2312" w:hAnsi="Arial" w:eastAsia="楷体_GB2312"/>
      <w:b/>
      <w:bCs/>
      <w:kern w:val="2"/>
      <w:sz w:val="24"/>
      <w:szCs w:val="32"/>
      <w:lang w:val="en-US" w:eastAsia="zh-CN" w:bidi="ar-SA"/>
    </w:rPr>
  </w:style>
  <w:style w:type="character" w:customStyle="1" w:styleId="113">
    <w:name w:val="hei16b1"/>
    <w:qFormat/>
    <w:uiPriority w:val="0"/>
    <w:rPr>
      <w:rFonts w:hint="default" w:ascii="Arial" w:hAnsi="Arial" w:cs="Arial"/>
      <w:b/>
      <w:bCs/>
      <w:color w:val="000000"/>
      <w:sz w:val="24"/>
      <w:szCs w:val="24"/>
    </w:rPr>
  </w:style>
  <w:style w:type="character" w:customStyle="1" w:styleId="114">
    <w:name w:val="Heading 7 Char"/>
    <w:qFormat/>
    <w:locked/>
    <w:uiPriority w:val="0"/>
    <w:rPr>
      <w:rFonts w:ascii="宋体" w:hAnsi="宋体" w:eastAsia="宋体"/>
      <w:b/>
      <w:bCs/>
      <w:kern w:val="2"/>
      <w:sz w:val="24"/>
      <w:szCs w:val="24"/>
      <w:lang w:val="en-US" w:eastAsia="zh-CN" w:bidi="ar-SA"/>
    </w:rPr>
  </w:style>
  <w:style w:type="character" w:customStyle="1" w:styleId="115">
    <w:name w:val="Char Char6"/>
    <w:qFormat/>
    <w:uiPriority w:val="0"/>
    <w:rPr>
      <w:rFonts w:eastAsia="宋体"/>
      <w:kern w:val="2"/>
      <w:sz w:val="21"/>
      <w:szCs w:val="24"/>
      <w:lang w:val="en-US" w:eastAsia="zh-CN" w:bidi="ar-SA"/>
    </w:rPr>
  </w:style>
  <w:style w:type="character" w:customStyle="1" w:styleId="116">
    <w:name w:val="哈哈正文 Char"/>
    <w:link w:val="117"/>
    <w:qFormat/>
    <w:uiPriority w:val="0"/>
    <w:rPr>
      <w:rFonts w:ascii="宋体" w:hAnsi="宋体" w:eastAsia="宋体"/>
      <w:kern w:val="2"/>
      <w:sz w:val="24"/>
      <w:lang w:bidi="ar-SA"/>
    </w:rPr>
  </w:style>
  <w:style w:type="paragraph" w:customStyle="1" w:styleId="117">
    <w:name w:val="哈哈正文"/>
    <w:basedOn w:val="1"/>
    <w:link w:val="116"/>
    <w:qFormat/>
    <w:uiPriority w:val="0"/>
    <w:pPr>
      <w:adjustRightInd/>
      <w:spacing w:line="360" w:lineRule="auto"/>
      <w:ind w:firstLine="200" w:firstLineChars="200"/>
    </w:pPr>
    <w:rPr>
      <w:rFonts w:ascii="宋体" w:hAnsi="宋体"/>
      <w:sz w:val="24"/>
      <w:szCs w:val="20"/>
    </w:rPr>
  </w:style>
  <w:style w:type="character" w:customStyle="1" w:styleId="118">
    <w:name w:val="pt141"/>
    <w:qFormat/>
    <w:uiPriority w:val="0"/>
    <w:rPr>
      <w:color w:val="330066"/>
      <w:sz w:val="22"/>
      <w:szCs w:val="22"/>
    </w:rPr>
  </w:style>
  <w:style w:type="character" w:customStyle="1" w:styleId="119">
    <w:name w:val="普通文字 Char3"/>
    <w:qFormat/>
    <w:uiPriority w:val="0"/>
    <w:rPr>
      <w:rFonts w:ascii="宋体" w:hAnsi="Courier New" w:eastAsia="宋体"/>
      <w:kern w:val="2"/>
      <w:sz w:val="21"/>
      <w:lang w:val="en-US" w:eastAsia="zh-CN" w:bidi="ar-SA"/>
    </w:rPr>
  </w:style>
  <w:style w:type="character" w:customStyle="1" w:styleId="120">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121">
    <w:name w:val="正文文本 字符"/>
    <w:link w:val="22"/>
    <w:semiHidden/>
    <w:qFormat/>
    <w:uiPriority w:val="0"/>
    <w:rPr>
      <w:rFonts w:ascii="宋体" w:hAnsi="Arial" w:eastAsia="宋体" w:cs="Arial"/>
      <w:snapToGrid w:val="0"/>
      <w:kern w:val="2"/>
      <w:sz w:val="24"/>
      <w:szCs w:val="21"/>
      <w:lang w:val="zh-CN" w:eastAsia="zh-CN" w:bidi="ar-SA"/>
    </w:rPr>
  </w:style>
  <w:style w:type="character" w:customStyle="1" w:styleId="122">
    <w:name w:val="正文2 Char"/>
    <w:qFormat/>
    <w:uiPriority w:val="0"/>
    <w:rPr>
      <w:rFonts w:eastAsia="宋体"/>
      <w:kern w:val="2"/>
      <w:sz w:val="24"/>
      <w:lang w:val="en-US" w:eastAsia="zh-CN" w:bidi="ar-SA"/>
    </w:rPr>
  </w:style>
  <w:style w:type="character" w:customStyle="1" w:styleId="123">
    <w:name w:val="普通文字 Char1"/>
    <w:qFormat/>
    <w:uiPriority w:val="0"/>
    <w:rPr>
      <w:rFonts w:ascii="宋体" w:hAnsi="Courier New" w:eastAsia="宋体"/>
      <w:kern w:val="2"/>
      <w:sz w:val="21"/>
      <w:lang w:val="en-US" w:eastAsia="zh-CN"/>
    </w:rPr>
  </w:style>
  <w:style w:type="character" w:customStyle="1" w:styleId="124">
    <w:name w:val="标题 9 字符"/>
    <w:link w:val="10"/>
    <w:qFormat/>
    <w:uiPriority w:val="0"/>
    <w:rPr>
      <w:rFonts w:ascii="Arial" w:hAnsi="Arial" w:eastAsia="黑体"/>
      <w:kern w:val="2"/>
      <w:sz w:val="21"/>
      <w:szCs w:val="21"/>
    </w:rPr>
  </w:style>
  <w:style w:type="character" w:customStyle="1" w:styleId="125">
    <w:name w:val="Header Char"/>
    <w:semiHidden/>
    <w:qFormat/>
    <w:locked/>
    <w:uiPriority w:val="0"/>
    <w:rPr>
      <w:rFonts w:eastAsia="宋体"/>
      <w:kern w:val="2"/>
      <w:sz w:val="18"/>
      <w:szCs w:val="18"/>
      <w:lang w:val="en-US" w:eastAsia="zh-CN" w:bidi="ar-SA"/>
    </w:rPr>
  </w:style>
  <w:style w:type="character" w:customStyle="1" w:styleId="126">
    <w:name w:val="Footer-Even Char1"/>
    <w:qFormat/>
    <w:uiPriority w:val="0"/>
    <w:rPr>
      <w:rFonts w:eastAsia="宋体"/>
      <w:kern w:val="2"/>
      <w:sz w:val="18"/>
      <w:szCs w:val="18"/>
      <w:lang w:val="en-US" w:eastAsia="zh-CN" w:bidi="ar-SA"/>
    </w:rPr>
  </w:style>
  <w:style w:type="character" w:customStyle="1" w:styleId="127">
    <w:name w:val="unnamed31"/>
    <w:qFormat/>
    <w:uiPriority w:val="0"/>
    <w:rPr>
      <w:rFonts w:ascii="Tahoma" w:hAnsi="Tahoma" w:eastAsia="宋体"/>
      <w:b/>
      <w:kern w:val="2"/>
      <w:sz w:val="24"/>
      <w:szCs w:val="32"/>
      <w:u w:val="none"/>
      <w:lang w:val="en-US" w:eastAsia="zh-CN" w:bidi="ar-SA"/>
    </w:rPr>
  </w:style>
  <w:style w:type="character" w:customStyle="1" w:styleId="128">
    <w:name w:val="纯文本 Char Char Char"/>
    <w:qFormat/>
    <w:uiPriority w:val="0"/>
    <w:rPr>
      <w:rFonts w:ascii="宋体" w:hAnsi="Courier New" w:eastAsia="宋体"/>
      <w:kern w:val="2"/>
      <w:sz w:val="21"/>
      <w:lang w:val="en-US" w:eastAsia="zh-CN" w:bidi="ar-SA"/>
    </w:rPr>
  </w:style>
  <w:style w:type="character" w:customStyle="1" w:styleId="129">
    <w:name w:val="Body Text(ch) Char Char"/>
    <w:qFormat/>
    <w:uiPriority w:val="0"/>
    <w:rPr>
      <w:rFonts w:ascii="宋体"/>
      <w:kern w:val="2"/>
      <w:sz w:val="24"/>
      <w:szCs w:val="21"/>
      <w:lang w:val="zh-CN"/>
    </w:rPr>
  </w:style>
  <w:style w:type="character" w:customStyle="1" w:styleId="130">
    <w:name w:val="插图说明 Char"/>
    <w:qFormat/>
    <w:uiPriority w:val="0"/>
    <w:rPr>
      <w:rFonts w:eastAsia="黑体"/>
      <w:sz w:val="24"/>
      <w:lang w:val="en-US" w:eastAsia="zh-CN"/>
    </w:rPr>
  </w:style>
  <w:style w:type="character" w:customStyle="1" w:styleId="131">
    <w:name w:val="tw4winExternal"/>
    <w:qFormat/>
    <w:uiPriority w:val="0"/>
    <w:rPr>
      <w:rFonts w:ascii="Courier New" w:hAnsi="Courier New" w:cs="Courier New"/>
      <w:color w:val="808080"/>
      <w:lang w:val="en-US" w:eastAsia="zh-CN"/>
    </w:rPr>
  </w:style>
  <w:style w:type="character" w:customStyle="1" w:styleId="132">
    <w:name w:val="font21"/>
    <w:qFormat/>
    <w:uiPriority w:val="0"/>
    <w:rPr>
      <w:rFonts w:hint="eastAsia" w:ascii="宋体" w:hAnsi="宋体" w:eastAsia="宋体"/>
      <w:kern w:val="2"/>
      <w:sz w:val="28"/>
      <w:szCs w:val="28"/>
      <w:lang w:val="en-US" w:eastAsia="zh-CN" w:bidi="ar-SA"/>
    </w:rPr>
  </w:style>
  <w:style w:type="character" w:customStyle="1" w:styleId="133">
    <w:name w:val="标书正文格式 Char"/>
    <w:qFormat/>
    <w:uiPriority w:val="0"/>
    <w:rPr>
      <w:rFonts w:eastAsia="楷体_GB2312"/>
      <w:kern w:val="2"/>
      <w:sz w:val="24"/>
      <w:szCs w:val="24"/>
      <w:lang w:bidi="ar-SA"/>
    </w:rPr>
  </w:style>
  <w:style w:type="character" w:customStyle="1" w:styleId="134">
    <w:name w:val="正文首行缩进 字符"/>
    <w:link w:val="23"/>
    <w:qFormat/>
    <w:uiPriority w:val="0"/>
    <w:rPr>
      <w:rFonts w:ascii="宋体"/>
      <w:kern w:val="2"/>
      <w:sz w:val="24"/>
      <w:lang w:val="zh-CN"/>
    </w:rPr>
  </w:style>
  <w:style w:type="character" w:customStyle="1" w:styleId="135">
    <w:name w:val="javascript"/>
    <w:qFormat/>
    <w:uiPriority w:val="0"/>
  </w:style>
  <w:style w:type="character" w:customStyle="1" w:styleId="136">
    <w:name w:val="Balloon Text Char"/>
    <w:semiHidden/>
    <w:qFormat/>
    <w:locked/>
    <w:uiPriority w:val="0"/>
    <w:rPr>
      <w:rFonts w:eastAsia="宋体"/>
      <w:kern w:val="2"/>
      <w:sz w:val="18"/>
      <w:szCs w:val="18"/>
      <w:lang w:val="en-US" w:eastAsia="zh-CN" w:bidi="ar-SA"/>
    </w:rPr>
  </w:style>
  <w:style w:type="character" w:customStyle="1" w:styleId="137">
    <w:name w:val="Char Char5"/>
    <w:qFormat/>
    <w:uiPriority w:val="0"/>
    <w:rPr>
      <w:rFonts w:ascii="宋体" w:hAnsi="Courier New" w:eastAsia="宋体"/>
      <w:kern w:val="2"/>
      <w:sz w:val="21"/>
      <w:lang w:val="en-US" w:eastAsia="zh-CN"/>
    </w:rPr>
  </w:style>
  <w:style w:type="character" w:customStyle="1" w:styleId="138">
    <w:name w:val="Char Char"/>
    <w:qFormat/>
    <w:uiPriority w:val="0"/>
    <w:rPr>
      <w:rFonts w:ascii="宋体" w:hAnsi="Courier New" w:eastAsia="宋体"/>
      <w:kern w:val="2"/>
      <w:sz w:val="21"/>
      <w:lang w:val="en-US" w:eastAsia="zh-CN" w:bidi="ar-SA"/>
    </w:rPr>
  </w:style>
  <w:style w:type="character" w:customStyle="1" w:styleId="139">
    <w:name w:val="mdeck"/>
    <w:qFormat/>
    <w:uiPriority w:val="0"/>
    <w:rPr>
      <w:rFonts w:ascii="仿宋_GB2312" w:eastAsia="微软雅黑"/>
      <w:b/>
      <w:kern w:val="2"/>
      <w:sz w:val="32"/>
      <w:szCs w:val="32"/>
      <w:lang w:val="en-US" w:eastAsia="zh-CN" w:bidi="ar-SA"/>
    </w:rPr>
  </w:style>
  <w:style w:type="character" w:customStyle="1" w:styleId="140">
    <w:name w:val="content"/>
    <w:qFormat/>
    <w:uiPriority w:val="0"/>
  </w:style>
  <w:style w:type="character" w:customStyle="1" w:styleId="141">
    <w:name w:val="Char Char3"/>
    <w:qFormat/>
    <w:uiPriority w:val="0"/>
    <w:rPr>
      <w:rFonts w:eastAsia="宋体"/>
      <w:kern w:val="2"/>
      <w:sz w:val="21"/>
      <w:szCs w:val="24"/>
      <w:lang w:val="en-US" w:eastAsia="zh-CN" w:bidi="ar-SA"/>
    </w:rPr>
  </w:style>
  <w:style w:type="character" w:customStyle="1" w:styleId="142">
    <w:name w:val="Char Char81"/>
    <w:qFormat/>
    <w:uiPriority w:val="6"/>
    <w:rPr>
      <w:rFonts w:eastAsia="宋体"/>
      <w:b/>
      <w:sz w:val="24"/>
      <w:lang w:val="en-GB" w:eastAsia="zh-CN"/>
    </w:rPr>
  </w:style>
  <w:style w:type="character" w:customStyle="1" w:styleId="143">
    <w:name w:val="标题 1 字符"/>
    <w:link w:val="2"/>
    <w:qFormat/>
    <w:uiPriority w:val="0"/>
    <w:rPr>
      <w:rFonts w:ascii="仿宋" w:hAnsi="仿宋" w:eastAsia="仿宋" w:cs="仿宋_GB2312"/>
      <w:b/>
      <w:color w:val="000000"/>
      <w:kern w:val="2"/>
      <w:sz w:val="36"/>
      <w:szCs w:val="36"/>
    </w:rPr>
  </w:style>
  <w:style w:type="character" w:customStyle="1" w:styleId="144">
    <w:name w:val="页眉 Char"/>
    <w:qFormat/>
    <w:uiPriority w:val="99"/>
    <w:rPr>
      <w:rFonts w:eastAsia="仿宋_GB2312"/>
      <w:kern w:val="2"/>
      <w:sz w:val="18"/>
      <w:lang w:val="en-US" w:eastAsia="zh-CN"/>
    </w:rPr>
  </w:style>
  <w:style w:type="character" w:customStyle="1" w:styleId="145">
    <w:name w:val="b11_01b Char"/>
    <w:link w:val="146"/>
    <w:qFormat/>
    <w:uiPriority w:val="0"/>
    <w:rPr>
      <w:rFonts w:ascii="Verdana" w:hAnsi="Verdana"/>
      <w:b/>
      <w:bCs/>
      <w:color w:val="4A82CA"/>
      <w:sz w:val="17"/>
      <w:szCs w:val="17"/>
    </w:rPr>
  </w:style>
  <w:style w:type="paragraph" w:customStyle="1" w:styleId="146">
    <w:name w:val="b11_01b"/>
    <w:basedOn w:val="1"/>
    <w:next w:val="1"/>
    <w:link w:val="145"/>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147">
    <w:name w:val="标题4-dyf Char"/>
    <w:link w:val="148"/>
    <w:qFormat/>
    <w:uiPriority w:val="0"/>
    <w:rPr>
      <w:rFonts w:ascii="Cambria" w:hAnsi="Cambria"/>
      <w:b/>
      <w:bCs/>
      <w:color w:val="000000"/>
      <w:kern w:val="2"/>
      <w:sz w:val="21"/>
      <w:szCs w:val="21"/>
    </w:rPr>
  </w:style>
  <w:style w:type="paragraph" w:customStyle="1" w:styleId="148">
    <w:name w:val="标题4-dyf"/>
    <w:basedOn w:val="5"/>
    <w:link w:val="147"/>
    <w:qFormat/>
    <w:uiPriority w:val="0"/>
    <w:pPr>
      <w:numPr>
        <w:numId w:val="0"/>
      </w:numPr>
      <w:tabs>
        <w:tab w:val="left" w:pos="851"/>
      </w:tabs>
      <w:adjustRightInd/>
      <w:spacing w:line="376" w:lineRule="atLeast"/>
      <w:ind w:left="851" w:hanging="851"/>
    </w:pPr>
    <w:rPr>
      <w:rFonts w:ascii="Cambria" w:hAnsi="Cambria" w:eastAsia="宋体"/>
      <w:color w:val="000000"/>
      <w:sz w:val="21"/>
      <w:szCs w:val="21"/>
    </w:rPr>
  </w:style>
  <w:style w:type="character" w:customStyle="1" w:styleId="149">
    <w:name w:val="批注主题 Char"/>
    <w:qFormat/>
    <w:uiPriority w:val="0"/>
    <w:rPr>
      <w:rFonts w:eastAsia="宋体"/>
      <w:b/>
      <w:bCs/>
      <w:kern w:val="2"/>
      <w:sz w:val="21"/>
      <w:szCs w:val="24"/>
      <w:lang w:val="en-US" w:eastAsia="zh-CN" w:bidi="ar-SA"/>
    </w:rPr>
  </w:style>
  <w:style w:type="character" w:customStyle="1" w:styleId="150">
    <w:name w:val="标题 3 Char1"/>
    <w:qFormat/>
    <w:uiPriority w:val="0"/>
    <w:rPr>
      <w:rFonts w:hint="eastAsia" w:ascii="华文中宋" w:hAnsi="华文中宋" w:eastAsia="华文中宋"/>
      <w:b/>
      <w:bCs/>
      <w:kern w:val="2"/>
      <w:sz w:val="32"/>
      <w:szCs w:val="32"/>
      <w:lang w:val="en-US" w:eastAsia="zh-CN" w:bidi="ar-SA"/>
    </w:rPr>
  </w:style>
  <w:style w:type="character" w:customStyle="1" w:styleId="151">
    <w:name w:val="标题 3 Char2"/>
    <w:qFormat/>
    <w:uiPriority w:val="0"/>
    <w:rPr>
      <w:rFonts w:eastAsia="宋体"/>
      <w:b/>
      <w:bCs/>
      <w:kern w:val="2"/>
      <w:sz w:val="32"/>
      <w:szCs w:val="32"/>
      <w:lang w:val="en-US" w:eastAsia="zh-CN" w:bidi="ar-SA"/>
    </w:rPr>
  </w:style>
  <w:style w:type="character" w:customStyle="1" w:styleId="152">
    <w:name w:val="gray6"/>
    <w:basedOn w:val="63"/>
    <w:qFormat/>
    <w:uiPriority w:val="0"/>
    <w:rPr>
      <w:rFonts w:ascii="Arial" w:hAnsi="Arial" w:eastAsia="黑体" w:cs="Arial"/>
      <w:snapToGrid w:val="0"/>
      <w:kern w:val="0"/>
      <w:szCs w:val="21"/>
    </w:rPr>
  </w:style>
  <w:style w:type="character" w:customStyle="1" w:styleId="153">
    <w:name w:val="正文首行缩进两字 Char"/>
    <w:qFormat/>
    <w:uiPriority w:val="0"/>
    <w:rPr>
      <w:sz w:val="24"/>
      <w:szCs w:val="24"/>
      <w:lang w:val="en-US" w:eastAsia="zh-CN" w:bidi="ar-SA"/>
    </w:rPr>
  </w:style>
  <w:style w:type="character" w:customStyle="1" w:styleId="154">
    <w:name w:val="Char Char51"/>
    <w:qFormat/>
    <w:uiPriority w:val="0"/>
    <w:rPr>
      <w:rFonts w:ascii="宋体" w:hAnsi="Courier New" w:eastAsia="宋体"/>
      <w:kern w:val="2"/>
      <w:sz w:val="21"/>
      <w:lang w:val="en-US" w:eastAsia="zh-CN"/>
    </w:rPr>
  </w:style>
  <w:style w:type="character" w:customStyle="1" w:styleId="155">
    <w:name w:val="带编号样式 Char"/>
    <w:qFormat/>
    <w:uiPriority w:val="0"/>
    <w:rPr>
      <w:rFonts w:ascii="仿宋_GB2312" w:eastAsia="仿宋_GB2312"/>
      <w:color w:val="000000"/>
      <w:sz w:val="24"/>
      <w:lang w:bidi="ar-SA"/>
    </w:rPr>
  </w:style>
  <w:style w:type="character" w:customStyle="1" w:styleId="156">
    <w:name w:val="Footer-Even Char"/>
    <w:qFormat/>
    <w:uiPriority w:val="0"/>
    <w:rPr>
      <w:rFonts w:eastAsia="宋体"/>
      <w:kern w:val="2"/>
      <w:sz w:val="18"/>
      <w:lang w:val="en-US" w:eastAsia="zh-CN" w:bidi="ar-SA"/>
    </w:rPr>
  </w:style>
  <w:style w:type="character" w:customStyle="1" w:styleId="157">
    <w:name w:val="样式4 Char"/>
    <w:qFormat/>
    <w:uiPriority w:val="0"/>
    <w:rPr>
      <w:rFonts w:ascii="仿宋_GB2312" w:hAnsi="仿宋" w:eastAsia="仿宋_GB2312"/>
      <w:b/>
      <w:kern w:val="2"/>
      <w:sz w:val="32"/>
      <w:szCs w:val="32"/>
      <w:lang w:bidi="ar-SA"/>
    </w:rPr>
  </w:style>
  <w:style w:type="character" w:customStyle="1" w:styleId="158">
    <w:name w:val="样式 标题 4h4H4Fab-4T5Ref Heading 1rh1Heading sqlsect 1.2.3.... Char"/>
    <w:link w:val="159"/>
    <w:qFormat/>
    <w:uiPriority w:val="0"/>
    <w:rPr>
      <w:rFonts w:ascii="微软雅黑" w:hAnsi="微软雅黑" w:eastAsia="微软雅黑"/>
      <w:b/>
      <w:bCs/>
      <w:kern w:val="2"/>
      <w:sz w:val="24"/>
      <w:szCs w:val="28"/>
    </w:rPr>
  </w:style>
  <w:style w:type="paragraph" w:customStyle="1" w:styleId="159">
    <w:name w:val="样式 标题 4h4H4Fab-4T5Ref Heading 1rh1Heading sqlsect 1.2.3...."/>
    <w:basedOn w:val="5"/>
    <w:link w:val="158"/>
    <w:qFormat/>
    <w:uiPriority w:val="0"/>
    <w:pPr>
      <w:numPr>
        <w:numId w:val="0"/>
      </w:numPr>
      <w:tabs>
        <w:tab w:val="left" w:pos="2356"/>
      </w:tabs>
      <w:adjustRightInd/>
      <w:spacing w:line="360" w:lineRule="auto"/>
      <w:ind w:left="1984" w:leftChars="75" w:hanging="708" w:firstLineChars="200"/>
    </w:pPr>
    <w:rPr>
      <w:rFonts w:ascii="微软雅黑" w:hAnsi="微软雅黑" w:eastAsia="微软雅黑"/>
      <w:sz w:val="24"/>
    </w:rPr>
  </w:style>
  <w:style w:type="character" w:customStyle="1" w:styleId="160">
    <w:name w:val="dandyren_title1"/>
    <w:qFormat/>
    <w:uiPriority w:val="0"/>
    <w:rPr>
      <w:b/>
      <w:bCs/>
      <w:color w:val="FF6633"/>
      <w:sz w:val="18"/>
      <w:szCs w:val="18"/>
    </w:rPr>
  </w:style>
  <w:style w:type="character" w:customStyle="1" w:styleId="161">
    <w:name w:val="普通文字 Char Char1"/>
    <w:qFormat/>
    <w:uiPriority w:val="0"/>
    <w:rPr>
      <w:rFonts w:ascii="宋体" w:hAnsi="Courier New"/>
      <w:kern w:val="2"/>
      <w:sz w:val="21"/>
    </w:rPr>
  </w:style>
  <w:style w:type="character" w:customStyle="1" w:styleId="162">
    <w:name w:val="PI Char"/>
    <w:qFormat/>
    <w:uiPriority w:val="0"/>
    <w:rPr>
      <w:rFonts w:ascii="宋体" w:hAnsi="宋体" w:eastAsia="宋体"/>
      <w:kern w:val="2"/>
      <w:sz w:val="24"/>
      <w:szCs w:val="24"/>
      <w:lang w:val="en-US" w:eastAsia="zh-CN" w:bidi="ar-SA"/>
    </w:rPr>
  </w:style>
  <w:style w:type="character" w:customStyle="1" w:styleId="163">
    <w:name w:val="Char Char11"/>
    <w:qFormat/>
    <w:locked/>
    <w:uiPriority w:val="0"/>
    <w:rPr>
      <w:rFonts w:ascii="宋体" w:hAnsi="宋体" w:eastAsia="宋体"/>
      <w:b/>
      <w:kern w:val="2"/>
      <w:sz w:val="24"/>
      <w:szCs w:val="24"/>
      <w:lang w:val="en-US" w:eastAsia="zh-CN" w:bidi="ar-SA"/>
    </w:rPr>
  </w:style>
  <w:style w:type="character" w:customStyle="1" w:styleId="164">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165">
    <w:name w:val="Document Map Char"/>
    <w:semiHidden/>
    <w:qFormat/>
    <w:locked/>
    <w:uiPriority w:val="0"/>
    <w:rPr>
      <w:rFonts w:eastAsia="宋体"/>
      <w:kern w:val="2"/>
      <w:sz w:val="21"/>
      <w:szCs w:val="24"/>
      <w:lang w:val="en-US" w:eastAsia="zh-CN" w:bidi="ar-SA"/>
    </w:rPr>
  </w:style>
  <w:style w:type="character" w:customStyle="1" w:styleId="166">
    <w:name w:val="正文文本缩进 Char"/>
    <w:qFormat/>
    <w:uiPriority w:val="0"/>
    <w:rPr>
      <w:rFonts w:ascii="宋体" w:hAnsi="宋体"/>
      <w:kern w:val="2"/>
      <w:sz w:val="24"/>
      <w:szCs w:val="24"/>
    </w:rPr>
  </w:style>
  <w:style w:type="character" w:customStyle="1" w:styleId="167">
    <w:name w:val="文本正文 Char Char"/>
    <w:qFormat/>
    <w:locked/>
    <w:uiPriority w:val="0"/>
    <w:rPr>
      <w:sz w:val="24"/>
      <w:lang w:bidi="ar-SA"/>
    </w:rPr>
  </w:style>
  <w:style w:type="character" w:customStyle="1" w:styleId="168">
    <w:name w:val="样式7 Char"/>
    <w:qFormat/>
    <w:uiPriority w:val="0"/>
    <w:rPr>
      <w:rFonts w:ascii="仿宋_GB2312" w:hAnsi="仿宋" w:eastAsia="仿宋_GB2312"/>
      <w:b/>
      <w:kern w:val="2"/>
      <w:sz w:val="24"/>
      <w:szCs w:val="24"/>
    </w:rPr>
  </w:style>
  <w:style w:type="character" w:customStyle="1" w:styleId="169">
    <w:name w:val="样式3 Char"/>
    <w:basedOn w:val="170"/>
    <w:qFormat/>
    <w:uiPriority w:val="0"/>
    <w:rPr>
      <w:rFonts w:ascii="仿宋_GB2312" w:hAnsi="仿宋" w:eastAsia="仿宋_GB2312" w:cs="仿宋_GB2312"/>
      <w:sz w:val="32"/>
      <w:szCs w:val="30"/>
      <w:lang w:val="zh-CN"/>
    </w:rPr>
  </w:style>
  <w:style w:type="character" w:customStyle="1" w:styleId="170">
    <w:name w:val="样式2 Char"/>
    <w:qFormat/>
    <w:uiPriority w:val="0"/>
    <w:rPr>
      <w:rFonts w:ascii="仿宋_GB2312" w:hAnsi="仿宋" w:eastAsia="仿宋_GB2312" w:cs="仿宋_GB2312"/>
      <w:b/>
      <w:bCs/>
      <w:sz w:val="32"/>
      <w:szCs w:val="30"/>
      <w:lang w:val="zh-CN"/>
    </w:rPr>
  </w:style>
  <w:style w:type="character" w:customStyle="1" w:styleId="171">
    <w:name w:val="二级标题 Char Char"/>
    <w:qFormat/>
    <w:uiPriority w:val="0"/>
    <w:rPr>
      <w:rFonts w:ascii="宋体" w:hAnsi="宋体" w:eastAsia="宋体"/>
      <w:b/>
      <w:snapToGrid w:val="0"/>
      <w:kern w:val="2"/>
      <w:sz w:val="24"/>
      <w:szCs w:val="24"/>
      <w:lang w:val="en-US" w:eastAsia="zh-CN" w:bidi="ar-SA"/>
    </w:rPr>
  </w:style>
  <w:style w:type="character" w:customStyle="1" w:styleId="172">
    <w:name w:val="Table Text Char1"/>
    <w:qFormat/>
    <w:uiPriority w:val="0"/>
    <w:rPr>
      <w:rFonts w:eastAsia="宋体"/>
      <w:sz w:val="24"/>
      <w:szCs w:val="24"/>
      <w:lang w:val="en-US" w:eastAsia="zh-CN" w:bidi="ar-SA"/>
    </w:rPr>
  </w:style>
  <w:style w:type="character" w:customStyle="1" w:styleId="173">
    <w:name w:val="shadow11"/>
    <w:qFormat/>
    <w:uiPriority w:val="0"/>
    <w:rPr>
      <w:color w:val="000000"/>
      <w:sz w:val="21"/>
    </w:rPr>
  </w:style>
  <w:style w:type="character" w:customStyle="1" w:styleId="174">
    <w:name w:val="HTML 地址 字符"/>
    <w:link w:val="29"/>
    <w:qFormat/>
    <w:uiPriority w:val="0"/>
    <w:rPr>
      <w:rFonts w:ascii="宋体" w:hAnsi="宋体"/>
      <w:i/>
      <w:iCs/>
      <w:sz w:val="24"/>
      <w:szCs w:val="24"/>
    </w:rPr>
  </w:style>
  <w:style w:type="character" w:customStyle="1" w:styleId="175">
    <w:name w:val="Char Char21"/>
    <w:qFormat/>
    <w:uiPriority w:val="0"/>
    <w:rPr>
      <w:rFonts w:eastAsia="宋体"/>
      <w:b/>
      <w:bCs/>
      <w:kern w:val="2"/>
      <w:sz w:val="21"/>
      <w:szCs w:val="24"/>
      <w:lang w:val="en-US" w:eastAsia="zh-CN" w:bidi="ar-SA"/>
    </w:rPr>
  </w:style>
  <w:style w:type="character" w:customStyle="1" w:styleId="176">
    <w:name w:val="标题 5 字符"/>
    <w:link w:val="6"/>
    <w:qFormat/>
    <w:uiPriority w:val="0"/>
    <w:rPr>
      <w:b/>
      <w:bCs/>
      <w:kern w:val="2"/>
      <w:sz w:val="28"/>
      <w:szCs w:val="28"/>
    </w:rPr>
  </w:style>
  <w:style w:type="character" w:customStyle="1" w:styleId="177">
    <w:name w:val="h3 Char1"/>
    <w:qFormat/>
    <w:uiPriority w:val="0"/>
    <w:rPr>
      <w:rFonts w:eastAsia="宋体"/>
      <w:b/>
      <w:bCs/>
      <w:kern w:val="2"/>
      <w:sz w:val="32"/>
      <w:szCs w:val="32"/>
      <w:lang w:bidi="ar-SA"/>
    </w:rPr>
  </w:style>
  <w:style w:type="character" w:customStyle="1" w:styleId="178">
    <w:name w:val="FA正文 Char Char"/>
    <w:qFormat/>
    <w:uiPriority w:val="0"/>
    <w:rPr>
      <w:rFonts w:hAnsi="宋体"/>
      <w:kern w:val="2"/>
      <w:sz w:val="24"/>
      <w:lang w:bidi="ar-SA"/>
    </w:rPr>
  </w:style>
  <w:style w:type="character" w:customStyle="1" w:styleId="179">
    <w:name w:val="首行缩进 Char"/>
    <w:qFormat/>
    <w:uiPriority w:val="0"/>
    <w:rPr>
      <w:rFonts w:ascii="宋体" w:eastAsia="宋体"/>
      <w:kern w:val="2"/>
      <w:sz w:val="24"/>
      <w:lang w:val="en-US" w:eastAsia="zh-CN" w:bidi="ar-SA"/>
    </w:rPr>
  </w:style>
  <w:style w:type="character" w:customStyle="1" w:styleId="180">
    <w:name w:val="Char Char7"/>
    <w:semiHidden/>
    <w:qFormat/>
    <w:uiPriority w:val="0"/>
    <w:rPr>
      <w:rFonts w:eastAsia="宋体"/>
      <w:kern w:val="2"/>
      <w:sz w:val="21"/>
      <w:szCs w:val="24"/>
      <w:lang w:val="en-US" w:eastAsia="zh-CN" w:bidi="ar-SA"/>
    </w:rPr>
  </w:style>
  <w:style w:type="character" w:customStyle="1" w:styleId="181">
    <w:name w:val="hui"/>
    <w:basedOn w:val="63"/>
    <w:qFormat/>
    <w:uiPriority w:val="0"/>
    <w:rPr>
      <w:rFonts w:ascii="Arial" w:hAnsi="Arial" w:eastAsia="黑体" w:cs="Arial"/>
      <w:snapToGrid w:val="0"/>
      <w:kern w:val="0"/>
      <w:szCs w:val="21"/>
    </w:rPr>
  </w:style>
  <w:style w:type="character" w:customStyle="1" w:styleId="182">
    <w:name w:val="正文缩进 Char"/>
    <w:qFormat/>
    <w:uiPriority w:val="0"/>
    <w:rPr>
      <w:rFonts w:eastAsia="宋体"/>
      <w:kern w:val="2"/>
      <w:sz w:val="21"/>
      <w:lang w:val="en-US" w:eastAsia="zh-CN"/>
    </w:rPr>
  </w:style>
  <w:style w:type="character" w:customStyle="1" w:styleId="183">
    <w:name w:val="正文1 Char"/>
    <w:qFormat/>
    <w:uiPriority w:val="0"/>
    <w:rPr>
      <w:rFonts w:ascii="宋体" w:eastAsia="宋体"/>
      <w:snapToGrid w:val="0"/>
      <w:color w:val="000000"/>
      <w:kern w:val="28"/>
      <w:sz w:val="28"/>
      <w:lang w:val="en-US" w:eastAsia="zh-CN" w:bidi="ar-SA"/>
    </w:rPr>
  </w:style>
  <w:style w:type="character" w:customStyle="1" w:styleId="184">
    <w:name w:val="Char Char61"/>
    <w:qFormat/>
    <w:uiPriority w:val="0"/>
    <w:rPr>
      <w:rFonts w:eastAsia="宋体"/>
      <w:kern w:val="2"/>
      <w:sz w:val="21"/>
      <w:szCs w:val="24"/>
      <w:lang w:val="en-US" w:eastAsia="zh-CN" w:bidi="ar-SA"/>
    </w:rPr>
  </w:style>
  <w:style w:type="character" w:customStyle="1" w:styleId="185">
    <w:name w:val="正文文本 3 字符"/>
    <w:link w:val="21"/>
    <w:qFormat/>
    <w:uiPriority w:val="0"/>
    <w:rPr>
      <w:kern w:val="2"/>
      <w:sz w:val="21"/>
    </w:rPr>
  </w:style>
  <w:style w:type="character" w:customStyle="1" w:styleId="186">
    <w:name w:val="message1"/>
    <w:qFormat/>
    <w:uiPriority w:val="0"/>
    <w:rPr>
      <w:rFonts w:hint="default" w:ascii="Tahoma" w:hAnsi="Tahoma" w:cs="Tahoma"/>
      <w:sz w:val="18"/>
      <w:szCs w:val="18"/>
    </w:rPr>
  </w:style>
  <w:style w:type="character" w:customStyle="1" w:styleId="187">
    <w:name w:val="Heading 2 Hidden Char"/>
    <w:qFormat/>
    <w:uiPriority w:val="0"/>
    <w:rPr>
      <w:rFonts w:ascii="仿宋_GB2312" w:eastAsia="仿宋_GB2312"/>
      <w:b/>
      <w:bCs/>
      <w:kern w:val="2"/>
      <w:sz w:val="24"/>
      <w:szCs w:val="24"/>
      <w:lang w:val="zh-CN" w:eastAsia="zh-CN" w:bidi="ar-SA"/>
    </w:rPr>
  </w:style>
  <w:style w:type="character" w:customStyle="1" w:styleId="188">
    <w:name w:val="DO_NOT_TRANSLATE"/>
    <w:qFormat/>
    <w:uiPriority w:val="0"/>
    <w:rPr>
      <w:rFonts w:ascii="Courier New" w:hAnsi="Courier New" w:cs="Courier New"/>
      <w:color w:val="800000"/>
      <w:lang w:val="en-US" w:eastAsia="zh-CN"/>
    </w:rPr>
  </w:style>
  <w:style w:type="character" w:customStyle="1" w:styleId="189">
    <w:name w:val="unnamed11"/>
    <w:qFormat/>
    <w:uiPriority w:val="0"/>
    <w:rPr>
      <w:sz w:val="20"/>
      <w:szCs w:val="20"/>
    </w:rPr>
  </w:style>
  <w:style w:type="character" w:customStyle="1" w:styleId="190">
    <w:name w:val="tw4winInternal"/>
    <w:qFormat/>
    <w:uiPriority w:val="0"/>
    <w:rPr>
      <w:rFonts w:ascii="Courier New" w:hAnsi="Courier New" w:cs="Courier New"/>
      <w:color w:val="FF0000"/>
      <w:lang w:val="en-US" w:eastAsia="zh-CN"/>
    </w:rPr>
  </w:style>
  <w:style w:type="character" w:customStyle="1" w:styleId="191">
    <w:name w:val="正文（缩进2汉字） Char"/>
    <w:link w:val="192"/>
    <w:qFormat/>
    <w:uiPriority w:val="0"/>
    <w:rPr>
      <w:rFonts w:ascii="宋体"/>
    </w:rPr>
  </w:style>
  <w:style w:type="paragraph" w:customStyle="1" w:styleId="192">
    <w:name w:val="正文（缩进2汉字）"/>
    <w:basedOn w:val="1"/>
    <w:link w:val="191"/>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193">
    <w:name w:val="页脚 Char"/>
    <w:qFormat/>
    <w:uiPriority w:val="99"/>
    <w:rPr>
      <w:rFonts w:eastAsia="仿宋_GB2312"/>
      <w:kern w:val="2"/>
      <w:sz w:val="18"/>
      <w:lang w:val="en-US" w:eastAsia="zh-CN"/>
    </w:rPr>
  </w:style>
  <w:style w:type="character" w:customStyle="1" w:styleId="194">
    <w:name w:val="正文文本缩进 3 字符"/>
    <w:link w:val="52"/>
    <w:qFormat/>
    <w:uiPriority w:val="0"/>
    <w:rPr>
      <w:kern w:val="2"/>
      <w:sz w:val="24"/>
    </w:rPr>
  </w:style>
  <w:style w:type="character" w:customStyle="1" w:styleId="195">
    <w:name w:val="正文缩进 Char1"/>
    <w:qFormat/>
    <w:uiPriority w:val="0"/>
    <w:rPr>
      <w:rFonts w:ascii="宋体" w:eastAsia="宋体"/>
      <w:snapToGrid w:val="0"/>
      <w:color w:val="000000"/>
      <w:kern w:val="28"/>
      <w:sz w:val="28"/>
      <w:lang w:val="en-US" w:eastAsia="zh-CN" w:bidi="ar-SA"/>
    </w:rPr>
  </w:style>
  <w:style w:type="character" w:customStyle="1" w:styleId="196">
    <w:name w:val="正文文本 Char"/>
    <w:qFormat/>
    <w:uiPriority w:val="0"/>
    <w:rPr>
      <w:rFonts w:eastAsia="宋体"/>
      <w:kern w:val="2"/>
      <w:sz w:val="24"/>
      <w:szCs w:val="24"/>
      <w:lang w:val="en-US" w:eastAsia="zh-CN" w:bidi="ar-SA"/>
    </w:rPr>
  </w:style>
  <w:style w:type="character" w:customStyle="1" w:styleId="197">
    <w:name w:val="style36"/>
    <w:basedOn w:val="63"/>
    <w:qFormat/>
    <w:uiPriority w:val="0"/>
    <w:rPr>
      <w:rFonts w:ascii="Arial" w:hAnsi="Arial" w:eastAsia="黑体" w:cs="Arial"/>
      <w:snapToGrid w:val="0"/>
      <w:kern w:val="0"/>
      <w:szCs w:val="21"/>
    </w:rPr>
  </w:style>
  <w:style w:type="character" w:customStyle="1" w:styleId="198">
    <w:name w:val="hui3"/>
    <w:qFormat/>
    <w:uiPriority w:val="0"/>
    <w:rPr>
      <w:color w:val="333333"/>
    </w:rPr>
  </w:style>
  <w:style w:type="character" w:customStyle="1" w:styleId="199">
    <w:name w:val="方案正文 Char"/>
    <w:qFormat/>
    <w:uiPriority w:val="0"/>
    <w:rPr>
      <w:rFonts w:ascii="仿宋_GB2312" w:eastAsia="仿宋_GB2312"/>
      <w:b/>
      <w:color w:val="000000"/>
      <w:kern w:val="2"/>
      <w:sz w:val="24"/>
      <w:lang w:val="en-US" w:eastAsia="zh-CN" w:bidi="ar-SA"/>
    </w:rPr>
  </w:style>
  <w:style w:type="character" w:customStyle="1" w:styleId="200">
    <w:name w:val="apple-converted-space"/>
    <w:qFormat/>
    <w:uiPriority w:val="0"/>
  </w:style>
  <w:style w:type="character" w:customStyle="1" w:styleId="201">
    <w:name w:val="文档结构图 Char"/>
    <w:qFormat/>
    <w:uiPriority w:val="0"/>
    <w:rPr>
      <w:rFonts w:eastAsia="宋体"/>
      <w:kern w:val="2"/>
      <w:sz w:val="21"/>
      <w:szCs w:val="24"/>
      <w:lang w:val="en-US" w:eastAsia="zh-CN" w:bidi="ar-SA"/>
    </w:rPr>
  </w:style>
  <w:style w:type="character" w:customStyle="1" w:styleId="202">
    <w:name w:val="正文非缩进 Char3"/>
    <w:qFormat/>
    <w:uiPriority w:val="0"/>
    <w:rPr>
      <w:rFonts w:ascii="宋体" w:eastAsia="宋体"/>
      <w:snapToGrid w:val="0"/>
      <w:color w:val="000000"/>
      <w:kern w:val="28"/>
      <w:sz w:val="28"/>
      <w:lang w:val="en-US" w:eastAsia="zh-CN" w:bidi="ar-SA"/>
    </w:rPr>
  </w:style>
  <w:style w:type="character" w:customStyle="1" w:styleId="203">
    <w:name w:val="dectext1"/>
    <w:qFormat/>
    <w:uiPriority w:val="0"/>
    <w:rPr>
      <w:rFonts w:ascii="宋体" w:hAnsi="宋体" w:eastAsia="宋体"/>
      <w:color w:val="333333"/>
      <w:sz w:val="21"/>
      <w:szCs w:val="21"/>
      <w:u w:val="none"/>
    </w:rPr>
  </w:style>
  <w:style w:type="character" w:customStyle="1" w:styleId="204">
    <w:name w:val="t21"/>
    <w:qFormat/>
    <w:uiPriority w:val="0"/>
    <w:rPr>
      <w:rFonts w:ascii="仿宋_GB2312" w:eastAsia="微软雅黑"/>
      <w:b/>
      <w:kern w:val="2"/>
      <w:sz w:val="23"/>
      <w:szCs w:val="23"/>
      <w:lang w:val="en-US" w:eastAsia="zh-CN" w:bidi="ar-SA"/>
    </w:rPr>
  </w:style>
  <w:style w:type="character" w:customStyle="1" w:styleId="205">
    <w:name w:val="副标题 Char1"/>
    <w:qFormat/>
    <w:uiPriority w:val="0"/>
    <w:rPr>
      <w:rFonts w:ascii="Cambria" w:hAnsi="Cambria" w:eastAsia="宋体" w:cs="Times New Roman"/>
      <w:b/>
      <w:bCs/>
      <w:snapToGrid w:val="0"/>
      <w:kern w:val="28"/>
      <w:sz w:val="32"/>
      <w:szCs w:val="32"/>
    </w:rPr>
  </w:style>
  <w:style w:type="character" w:customStyle="1" w:styleId="206">
    <w:name w:val="px14"/>
    <w:qFormat/>
    <w:uiPriority w:val="0"/>
    <w:rPr>
      <w:rFonts w:ascii="仿宋_GB2312" w:eastAsia="微软雅黑" w:cs="Times New Roman"/>
      <w:b/>
      <w:kern w:val="2"/>
      <w:sz w:val="32"/>
      <w:szCs w:val="32"/>
      <w:lang w:val="en-US" w:eastAsia="zh-CN" w:bidi="ar-SA"/>
    </w:rPr>
  </w:style>
  <w:style w:type="character" w:customStyle="1" w:styleId="207">
    <w:name w:val="标题 7 字符"/>
    <w:link w:val="8"/>
    <w:qFormat/>
    <w:uiPriority w:val="0"/>
    <w:rPr>
      <w:b/>
      <w:bCs/>
      <w:kern w:val="2"/>
      <w:sz w:val="24"/>
      <w:szCs w:val="24"/>
    </w:rPr>
  </w:style>
  <w:style w:type="character" w:customStyle="1" w:styleId="208">
    <w:name w:val="Normal Indent Char Char"/>
    <w:qFormat/>
    <w:uiPriority w:val="0"/>
    <w:rPr>
      <w:rFonts w:eastAsia="宋体"/>
      <w:kern w:val="2"/>
      <w:sz w:val="21"/>
      <w:lang w:val="en-US" w:eastAsia="zh-CN" w:bidi="ar-SA"/>
    </w:rPr>
  </w:style>
  <w:style w:type="character" w:customStyle="1" w:styleId="209">
    <w:name w:val="f141"/>
    <w:qFormat/>
    <w:uiPriority w:val="0"/>
    <w:rPr>
      <w:rFonts w:ascii="Tahoma" w:hAnsi="Tahoma" w:eastAsia="宋体"/>
      <w:b/>
      <w:kern w:val="2"/>
      <w:sz w:val="21"/>
      <w:szCs w:val="21"/>
      <w:lang w:val="en-US" w:eastAsia="zh-CN" w:bidi="ar-SA"/>
    </w:rPr>
  </w:style>
  <w:style w:type="character" w:customStyle="1" w:styleId="210">
    <w:name w:val="日期 字符"/>
    <w:link w:val="35"/>
    <w:qFormat/>
    <w:uiPriority w:val="0"/>
    <w:rPr>
      <w:rFonts w:ascii="宋体"/>
      <w:kern w:val="2"/>
      <w:sz w:val="24"/>
      <w:szCs w:val="21"/>
      <w:lang w:val="zh-CN"/>
    </w:rPr>
  </w:style>
  <w:style w:type="character" w:customStyle="1" w:styleId="211">
    <w:name w:val="myp1111"/>
    <w:qFormat/>
    <w:uiPriority w:val="0"/>
    <w:rPr>
      <w:rFonts w:hint="default" w:ascii="ˎ̥" w:hAnsi="ˎ̥"/>
      <w:color w:val="000000"/>
      <w:sz w:val="20"/>
      <w:szCs w:val="20"/>
      <w:u w:val="none"/>
    </w:rPr>
  </w:style>
  <w:style w:type="character" w:customStyle="1" w:styleId="212">
    <w:name w:val="称呼 字符"/>
    <w:link w:val="20"/>
    <w:qFormat/>
    <w:uiPriority w:val="0"/>
    <w:rPr>
      <w:rFonts w:ascii="仿宋_GB2312" w:eastAsia="仿宋_GB2312"/>
      <w:kern w:val="2"/>
      <w:sz w:val="28"/>
    </w:rPr>
  </w:style>
  <w:style w:type="character" w:customStyle="1" w:styleId="213">
    <w:name w:val="标题 4 字符"/>
    <w:link w:val="5"/>
    <w:qFormat/>
    <w:uiPriority w:val="0"/>
    <w:rPr>
      <w:rFonts w:ascii="Arial" w:hAnsi="Arial" w:eastAsia="黑体"/>
      <w:b/>
      <w:bCs/>
      <w:kern w:val="2"/>
      <w:sz w:val="28"/>
      <w:szCs w:val="28"/>
      <w:lang w:val="zh-CN"/>
    </w:rPr>
  </w:style>
  <w:style w:type="character" w:customStyle="1" w:styleId="214">
    <w:name w:val="标书1 Char"/>
    <w:qFormat/>
    <w:uiPriority w:val="0"/>
    <w:rPr>
      <w:rFonts w:eastAsia="宋体"/>
      <w:b/>
      <w:bCs/>
      <w:kern w:val="44"/>
      <w:sz w:val="44"/>
      <w:szCs w:val="44"/>
      <w:lang w:val="en-US" w:eastAsia="zh-CN" w:bidi="ar-SA"/>
    </w:rPr>
  </w:style>
  <w:style w:type="character" w:customStyle="1" w:styleId="215">
    <w:name w:val="链接"/>
    <w:qFormat/>
    <w:uiPriority w:val="0"/>
    <w:rPr>
      <w:color w:val="0000FF"/>
      <w:sz w:val="21"/>
      <w:szCs w:val="21"/>
      <w:u w:val="single"/>
    </w:rPr>
  </w:style>
  <w:style w:type="character" w:customStyle="1" w:styleId="216">
    <w:name w:val="正文首行缩进 Char Char Char Char Char Char"/>
    <w:qFormat/>
    <w:uiPriority w:val="0"/>
    <w:rPr>
      <w:rFonts w:ascii="宋体" w:eastAsia="宋体"/>
      <w:kern w:val="2"/>
      <w:sz w:val="24"/>
      <w:lang w:val="zh-CN" w:bidi="ar-SA"/>
    </w:rPr>
  </w:style>
  <w:style w:type="character" w:customStyle="1" w:styleId="217">
    <w:name w:val="正文2 Char Char"/>
    <w:link w:val="218"/>
    <w:qFormat/>
    <w:uiPriority w:val="0"/>
    <w:rPr>
      <w:rFonts w:eastAsia="宋体"/>
      <w:kern w:val="2"/>
      <w:sz w:val="24"/>
      <w:lang w:val="en-US" w:eastAsia="zh-CN" w:bidi="ar-SA"/>
    </w:rPr>
  </w:style>
  <w:style w:type="paragraph" w:customStyle="1" w:styleId="218">
    <w:name w:val="正文2"/>
    <w:basedOn w:val="1"/>
    <w:link w:val="217"/>
    <w:qFormat/>
    <w:uiPriority w:val="0"/>
    <w:pPr>
      <w:spacing w:before="156" w:line="360" w:lineRule="auto"/>
      <w:ind w:firstLine="510" w:firstLineChars="200"/>
    </w:pPr>
    <w:rPr>
      <w:sz w:val="24"/>
      <w:szCs w:val="20"/>
    </w:rPr>
  </w:style>
  <w:style w:type="character" w:customStyle="1" w:styleId="219">
    <w:name w:val="tw4winError"/>
    <w:qFormat/>
    <w:uiPriority w:val="0"/>
    <w:rPr>
      <w:rFonts w:ascii="Courier New" w:hAnsi="Courier New" w:cs="Courier New"/>
      <w:color w:val="00FF00"/>
      <w:sz w:val="40"/>
      <w:szCs w:val="40"/>
    </w:rPr>
  </w:style>
  <w:style w:type="character" w:customStyle="1" w:styleId="220">
    <w:name w:val="正文1 Char1"/>
    <w:qFormat/>
    <w:uiPriority w:val="0"/>
    <w:rPr>
      <w:rFonts w:ascii="仿宋_GB2312" w:hAnsi="Courier New" w:eastAsia="仿宋_GB2312"/>
      <w:kern w:val="28"/>
      <w:sz w:val="24"/>
      <w:szCs w:val="24"/>
      <w:lang w:val="en-US" w:eastAsia="zh-CN"/>
    </w:rPr>
  </w:style>
  <w:style w:type="character" w:customStyle="1" w:styleId="221">
    <w:name w:val="Used by Word for text of Help footnotes Char Char"/>
    <w:semiHidden/>
    <w:qFormat/>
    <w:uiPriority w:val="0"/>
    <w:rPr>
      <w:rFonts w:ascii="Times New Roman" w:hAnsi="Times New Roman" w:eastAsia="宋体" w:cs="Times New Roman"/>
      <w:sz w:val="20"/>
      <w:szCs w:val="20"/>
    </w:rPr>
  </w:style>
  <w:style w:type="character" w:customStyle="1" w:styleId="222">
    <w:name w:val="c7 style3"/>
    <w:qFormat/>
    <w:uiPriority w:val="0"/>
  </w:style>
  <w:style w:type="character" w:customStyle="1" w:styleId="223">
    <w:name w:val="纯文本 字符1"/>
    <w:link w:val="32"/>
    <w:qFormat/>
    <w:uiPriority w:val="0"/>
    <w:rPr>
      <w:rFonts w:ascii="宋体" w:hAnsi="Courier New" w:eastAsia="宋体" w:cs="Arial"/>
      <w:snapToGrid w:val="0"/>
      <w:kern w:val="2"/>
      <w:sz w:val="21"/>
      <w:szCs w:val="21"/>
      <w:lang w:val="en-US" w:eastAsia="zh-CN" w:bidi="ar-SA"/>
    </w:rPr>
  </w:style>
  <w:style w:type="character" w:customStyle="1" w:styleId="224">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225">
    <w:name w:val="表正文 Char"/>
    <w:qFormat/>
    <w:uiPriority w:val="0"/>
    <w:rPr>
      <w:rFonts w:ascii="宋体" w:eastAsia="宋体"/>
      <w:snapToGrid w:val="0"/>
      <w:color w:val="000000"/>
      <w:kern w:val="28"/>
      <w:sz w:val="28"/>
      <w:lang w:val="en-US" w:eastAsia="zh-CN" w:bidi="ar-SA"/>
    </w:rPr>
  </w:style>
  <w:style w:type="character" w:customStyle="1" w:styleId="226">
    <w:name w:val="普通文字 Char1 Char"/>
    <w:qFormat/>
    <w:uiPriority w:val="0"/>
    <w:rPr>
      <w:rFonts w:ascii="宋体" w:hAnsi="Courier New" w:eastAsia="宋体"/>
      <w:kern w:val="2"/>
      <w:sz w:val="21"/>
      <w:szCs w:val="24"/>
      <w:lang w:val="en-US" w:eastAsia="zh-CN" w:bidi="ar-SA"/>
    </w:rPr>
  </w:style>
  <w:style w:type="character" w:customStyle="1" w:styleId="227">
    <w:name w:val="pt9"/>
    <w:qFormat/>
    <w:uiPriority w:val="0"/>
    <w:rPr>
      <w:rFonts w:ascii="仿宋_GB2312" w:eastAsia="微软雅黑"/>
      <w:b/>
      <w:kern w:val="2"/>
      <w:sz w:val="32"/>
      <w:szCs w:val="32"/>
      <w:lang w:val="en-US" w:eastAsia="zh-CN" w:bidi="ar-SA"/>
    </w:rPr>
  </w:style>
  <w:style w:type="character" w:customStyle="1" w:styleId="228">
    <w:name w:val="表正文 Char1"/>
    <w:qFormat/>
    <w:uiPriority w:val="0"/>
    <w:rPr>
      <w:rFonts w:ascii="宋体" w:eastAsia="宋体"/>
      <w:snapToGrid w:val="0"/>
      <w:color w:val="000000"/>
      <w:kern w:val="28"/>
      <w:sz w:val="28"/>
    </w:rPr>
  </w:style>
  <w:style w:type="character" w:customStyle="1" w:styleId="229">
    <w:name w:val="正文非缩进 Char"/>
    <w:qFormat/>
    <w:uiPriority w:val="0"/>
    <w:rPr>
      <w:rFonts w:ascii="宋体" w:eastAsia="宋体"/>
      <w:snapToGrid w:val="0"/>
      <w:color w:val="000000"/>
      <w:kern w:val="28"/>
      <w:sz w:val="28"/>
      <w:lang w:val="en-US" w:eastAsia="zh-CN" w:bidi="ar-SA"/>
    </w:rPr>
  </w:style>
  <w:style w:type="character" w:customStyle="1" w:styleId="230">
    <w:name w:val="冯广丽 Char"/>
    <w:link w:val="231"/>
    <w:qFormat/>
    <w:uiPriority w:val="0"/>
    <w:rPr>
      <w:rFonts w:ascii="宋体" w:hAnsi="宋体"/>
      <w:kern w:val="2"/>
      <w:sz w:val="24"/>
      <w:szCs w:val="22"/>
    </w:rPr>
  </w:style>
  <w:style w:type="paragraph" w:customStyle="1" w:styleId="231">
    <w:name w:val="冯广丽"/>
    <w:basedOn w:val="1"/>
    <w:link w:val="230"/>
    <w:qFormat/>
    <w:uiPriority w:val="0"/>
    <w:pPr>
      <w:adjustRightInd/>
      <w:spacing w:line="360" w:lineRule="auto"/>
      <w:ind w:firstLine="480" w:firstLineChars="200"/>
    </w:pPr>
    <w:rPr>
      <w:rFonts w:ascii="宋体" w:hAnsi="宋体"/>
      <w:sz w:val="24"/>
      <w:szCs w:val="22"/>
    </w:rPr>
  </w:style>
  <w:style w:type="character" w:customStyle="1" w:styleId="232">
    <w:name w:val="large1"/>
    <w:qFormat/>
    <w:uiPriority w:val="0"/>
    <w:rPr>
      <w:rFonts w:hint="eastAsia" w:ascii="宋体" w:hAnsi="宋体" w:eastAsia="宋体"/>
      <w:sz w:val="21"/>
      <w:szCs w:val="21"/>
    </w:rPr>
  </w:style>
  <w:style w:type="character" w:customStyle="1" w:styleId="233">
    <w:name w:val="样式 样式 标题 4h4H4Fab-4T5Ref Heading 1rh1Heading sqlsect 1.2.3.... +... Char"/>
    <w:link w:val="234"/>
    <w:qFormat/>
    <w:uiPriority w:val="0"/>
    <w:rPr>
      <w:rFonts w:ascii="微软雅黑" w:hAnsi="微软雅黑" w:eastAsia="微软雅黑"/>
      <w:b/>
      <w:bCs/>
      <w:kern w:val="2"/>
      <w:sz w:val="24"/>
      <w:szCs w:val="28"/>
    </w:rPr>
  </w:style>
  <w:style w:type="paragraph" w:customStyle="1" w:styleId="234">
    <w:name w:val="样式 样式 标题 4h4H4Fab-4T5Ref Heading 1rh1Heading sqlsect 1.2.3.... +..."/>
    <w:basedOn w:val="159"/>
    <w:link w:val="233"/>
    <w:qFormat/>
    <w:uiPriority w:val="0"/>
  </w:style>
  <w:style w:type="character" w:customStyle="1" w:styleId="235">
    <w:name w:val="标题 1 Char Char"/>
    <w:qFormat/>
    <w:uiPriority w:val="0"/>
    <w:rPr>
      <w:rFonts w:hint="eastAsia" w:ascii="宋体" w:hAnsi="宋体" w:eastAsia="宋体"/>
      <w:b/>
      <w:spacing w:val="-2"/>
      <w:sz w:val="24"/>
      <w:lang w:val="en-US" w:eastAsia="zh-CN" w:bidi="ar-SA"/>
    </w:rPr>
  </w:style>
  <w:style w:type="character" w:customStyle="1" w:styleId="236">
    <w:name w:val="标题 4 Char1"/>
    <w:semiHidden/>
    <w:qFormat/>
    <w:uiPriority w:val="9"/>
    <w:rPr>
      <w:rFonts w:ascii="Cambria" w:hAnsi="Cambria" w:eastAsia="宋体" w:cs="Times New Roman"/>
      <w:b/>
      <w:bCs/>
      <w:kern w:val="2"/>
      <w:sz w:val="28"/>
      <w:szCs w:val="28"/>
    </w:rPr>
  </w:style>
  <w:style w:type="character" w:customStyle="1" w:styleId="237">
    <w:name w:val="脚注文本 字符"/>
    <w:link w:val="49"/>
    <w:qFormat/>
    <w:uiPriority w:val="0"/>
    <w:rPr>
      <w:color w:val="0000FF"/>
      <w:sz w:val="21"/>
    </w:rPr>
  </w:style>
  <w:style w:type="character" w:customStyle="1" w:styleId="238">
    <w:name w:val="zbggmain style9"/>
    <w:qFormat/>
    <w:uiPriority w:val="0"/>
  </w:style>
  <w:style w:type="character" w:customStyle="1" w:styleId="239">
    <w:name w:val="tw4winMark"/>
    <w:qFormat/>
    <w:uiPriority w:val="0"/>
    <w:rPr>
      <w:rFonts w:ascii="Courier New" w:hAnsi="Courier New" w:cs="Courier New"/>
      <w:vanish/>
      <w:color w:val="800080"/>
      <w:sz w:val="24"/>
      <w:szCs w:val="24"/>
      <w:vertAlign w:val="subscript"/>
    </w:rPr>
  </w:style>
  <w:style w:type="character" w:customStyle="1" w:styleId="240">
    <w:name w:val="tw4winPopup"/>
    <w:qFormat/>
    <w:uiPriority w:val="0"/>
    <w:rPr>
      <w:rFonts w:ascii="Courier New" w:hAnsi="Courier New" w:cs="Courier New"/>
      <w:color w:val="008000"/>
      <w:lang w:val="en-US" w:eastAsia="zh-CN"/>
    </w:rPr>
  </w:style>
  <w:style w:type="character" w:customStyle="1" w:styleId="241">
    <w:name w:val="标题 6 字符"/>
    <w:link w:val="7"/>
    <w:qFormat/>
    <w:uiPriority w:val="0"/>
    <w:rPr>
      <w:rFonts w:ascii="Arial" w:hAnsi="Arial" w:eastAsia="黑体"/>
      <w:b/>
      <w:bCs/>
      <w:kern w:val="2"/>
      <w:sz w:val="24"/>
      <w:szCs w:val="24"/>
    </w:rPr>
  </w:style>
  <w:style w:type="character" w:customStyle="1" w:styleId="242">
    <w:name w:val="样式 宋体"/>
    <w:qFormat/>
    <w:uiPriority w:val="0"/>
    <w:rPr>
      <w:rFonts w:ascii="宋体" w:hAnsi="宋体"/>
      <w:sz w:val="24"/>
    </w:rPr>
  </w:style>
  <w:style w:type="character" w:customStyle="1" w:styleId="243">
    <w:name w:val="正文缩进 字符1"/>
    <w:link w:val="15"/>
    <w:qFormat/>
    <w:uiPriority w:val="0"/>
    <w:rPr>
      <w:rFonts w:ascii="宋体" w:eastAsia="宋体"/>
      <w:snapToGrid w:val="0"/>
      <w:color w:val="000000"/>
      <w:kern w:val="28"/>
      <w:sz w:val="28"/>
      <w:lang w:val="en-US" w:eastAsia="zh-CN" w:bidi="ar-SA"/>
    </w:rPr>
  </w:style>
  <w:style w:type="character" w:customStyle="1" w:styleId="244">
    <w:name w:val="标题 Char"/>
    <w:qFormat/>
    <w:uiPriority w:val="0"/>
    <w:rPr>
      <w:rFonts w:eastAsia="宋体"/>
      <w:b/>
      <w:sz w:val="24"/>
      <w:lang w:val="en-GB" w:eastAsia="zh-CN" w:bidi="ar-SA"/>
    </w:rPr>
  </w:style>
  <w:style w:type="character" w:customStyle="1" w:styleId="245">
    <w:name w:val="正文首行缩进 2 字符"/>
    <w:link w:val="60"/>
    <w:qFormat/>
    <w:uiPriority w:val="0"/>
    <w:rPr>
      <w:rFonts w:ascii="宋体" w:hAnsi="宋体"/>
      <w:kern w:val="2"/>
      <w:sz w:val="21"/>
      <w:szCs w:val="24"/>
    </w:rPr>
  </w:style>
  <w:style w:type="character" w:customStyle="1" w:styleId="246">
    <w:name w:val="正文 编号 Char"/>
    <w:qFormat/>
    <w:uiPriority w:val="0"/>
    <w:rPr>
      <w:rFonts w:ascii="仿宋_GB2312" w:hAnsi="仿宋_GB2312" w:eastAsia="仿宋_GB2312"/>
      <w:kern w:val="2"/>
      <w:sz w:val="24"/>
      <w:lang w:bidi="ar-SA"/>
    </w:rPr>
  </w:style>
  <w:style w:type="character" w:customStyle="1" w:styleId="247">
    <w:name w:val="批注文字 字符"/>
    <w:link w:val="19"/>
    <w:qFormat/>
    <w:uiPriority w:val="0"/>
    <w:rPr>
      <w:kern w:val="2"/>
      <w:sz w:val="21"/>
      <w:szCs w:val="24"/>
    </w:rPr>
  </w:style>
  <w:style w:type="character" w:customStyle="1" w:styleId="248">
    <w:name w:val="批注框文本 字符"/>
    <w:link w:val="37"/>
    <w:semiHidden/>
    <w:qFormat/>
    <w:uiPriority w:val="0"/>
    <w:rPr>
      <w:kern w:val="2"/>
      <w:sz w:val="18"/>
      <w:szCs w:val="18"/>
    </w:rPr>
  </w:style>
  <w:style w:type="character" w:customStyle="1" w:styleId="249">
    <w:name w:val="公文正文 Char"/>
    <w:qFormat/>
    <w:uiPriority w:val="0"/>
    <w:rPr>
      <w:rFonts w:ascii="仿宋_GB2312" w:eastAsia="仿宋_GB2312"/>
      <w:kern w:val="2"/>
      <w:sz w:val="24"/>
      <w:szCs w:val="24"/>
      <w:lang w:val="en-US" w:eastAsia="zh-CN" w:bidi="ar-SA"/>
    </w:rPr>
  </w:style>
  <w:style w:type="character" w:customStyle="1" w:styleId="250">
    <w:name w:val="Footer Char"/>
    <w:qFormat/>
    <w:locked/>
    <w:uiPriority w:val="0"/>
    <w:rPr>
      <w:rFonts w:eastAsia="宋体"/>
      <w:kern w:val="2"/>
      <w:sz w:val="18"/>
      <w:lang w:val="en-US" w:eastAsia="zh-CN" w:bidi="ar-SA"/>
    </w:rPr>
  </w:style>
  <w:style w:type="character" w:customStyle="1" w:styleId="251">
    <w:name w:val="标题 2 Char"/>
    <w:qFormat/>
    <w:uiPriority w:val="0"/>
    <w:rPr>
      <w:rFonts w:ascii="Arial" w:hAnsi="Arial" w:eastAsia="黑体"/>
      <w:b/>
      <w:kern w:val="2"/>
      <w:sz w:val="32"/>
      <w:lang w:val="en-US" w:eastAsia="zh-CN"/>
    </w:rPr>
  </w:style>
  <w:style w:type="character" w:customStyle="1" w:styleId="252">
    <w:name w:val="Char Char41"/>
    <w:qFormat/>
    <w:uiPriority w:val="0"/>
    <w:rPr>
      <w:rFonts w:eastAsia="宋体"/>
      <w:b/>
      <w:sz w:val="24"/>
      <w:lang w:val="en-GB" w:eastAsia="zh-CN" w:bidi="ar-SA"/>
    </w:rPr>
  </w:style>
  <w:style w:type="character" w:customStyle="1" w:styleId="253">
    <w:name w:val="Char Char91"/>
    <w:qFormat/>
    <w:uiPriority w:val="0"/>
    <w:rPr>
      <w:rFonts w:eastAsia="宋体"/>
      <w:kern w:val="2"/>
      <w:sz w:val="18"/>
      <w:szCs w:val="18"/>
      <w:lang w:val="en-US" w:eastAsia="zh-CN" w:bidi="ar-SA"/>
    </w:rPr>
  </w:style>
  <w:style w:type="character" w:customStyle="1" w:styleId="254">
    <w:name w:val="列出段落 Char"/>
    <w:qFormat/>
    <w:uiPriority w:val="34"/>
    <w:rPr>
      <w:rFonts w:eastAsia="楷体_GB2312" w:cs="Lucida Sans"/>
      <w:kern w:val="2"/>
      <w:sz w:val="24"/>
      <w:szCs w:val="24"/>
      <w:lang w:val="en-US" w:eastAsia="zh-CN" w:bidi="ar-SA"/>
    </w:rPr>
  </w:style>
  <w:style w:type="character" w:customStyle="1" w:styleId="255">
    <w:name w:val="gf正文1 Char"/>
    <w:qFormat/>
    <w:uiPriority w:val="0"/>
    <w:rPr>
      <w:rFonts w:ascii="宋体" w:hAnsi="宋体" w:eastAsia="宋体" w:cs="宋体"/>
      <w:kern w:val="2"/>
      <w:sz w:val="24"/>
      <w:szCs w:val="24"/>
      <w:lang w:val="en-US" w:eastAsia="zh-CN" w:bidi="ar-SA"/>
    </w:rPr>
  </w:style>
  <w:style w:type="character" w:customStyle="1" w:styleId="256">
    <w:name w:val="标书表格字体格式 Char"/>
    <w:qFormat/>
    <w:uiPriority w:val="0"/>
    <w:rPr>
      <w:kern w:val="2"/>
      <w:sz w:val="21"/>
      <w:szCs w:val="24"/>
      <w:lang w:bidi="ar-SA"/>
    </w:rPr>
  </w:style>
  <w:style w:type="character" w:customStyle="1" w:styleId="257">
    <w:name w:val="样式6 Char"/>
    <w:qFormat/>
    <w:uiPriority w:val="0"/>
    <w:rPr>
      <w:rFonts w:ascii="仿宋_GB2312" w:hAnsi="宋体" w:eastAsia="仿宋_GB2312"/>
      <w:b/>
      <w:bCs/>
      <w:kern w:val="2"/>
      <w:sz w:val="24"/>
      <w:szCs w:val="24"/>
      <w:lang w:val="en-US" w:eastAsia="zh-CN" w:bidi="ar-SA"/>
    </w:rPr>
  </w:style>
  <w:style w:type="character" w:customStyle="1" w:styleId="258">
    <w:name w:val="签名 字符"/>
    <w:link w:val="41"/>
    <w:qFormat/>
    <w:uiPriority w:val="0"/>
    <w:rPr>
      <w:rFonts w:eastAsia="仿宋_GB2312"/>
      <w:sz w:val="24"/>
    </w:rPr>
  </w:style>
  <w:style w:type="character" w:customStyle="1" w:styleId="259">
    <w:name w:val="冯 Char"/>
    <w:link w:val="260"/>
    <w:qFormat/>
    <w:uiPriority w:val="0"/>
    <w:rPr>
      <w:rFonts w:ascii="宋体" w:hAnsi="宋体"/>
      <w:color w:val="000000"/>
      <w:sz w:val="24"/>
      <w:szCs w:val="24"/>
    </w:rPr>
  </w:style>
  <w:style w:type="paragraph" w:customStyle="1" w:styleId="260">
    <w:name w:val="冯"/>
    <w:basedOn w:val="1"/>
    <w:link w:val="259"/>
    <w:qFormat/>
    <w:uiPriority w:val="0"/>
    <w:pPr>
      <w:widowControl/>
      <w:adjustRightInd/>
      <w:spacing w:line="360" w:lineRule="auto"/>
      <w:ind w:firstLine="480" w:firstLineChars="200"/>
    </w:pPr>
    <w:rPr>
      <w:rFonts w:ascii="宋体" w:hAnsi="宋体"/>
      <w:color w:val="000000"/>
      <w:kern w:val="0"/>
      <w:sz w:val="24"/>
    </w:rPr>
  </w:style>
  <w:style w:type="character" w:customStyle="1" w:styleId="261">
    <w:name w:val="Ò³Ã¼ Char Char1"/>
    <w:qFormat/>
    <w:uiPriority w:val="0"/>
    <w:rPr>
      <w:rFonts w:eastAsia="宋体"/>
      <w:kern w:val="2"/>
      <w:sz w:val="18"/>
      <w:szCs w:val="18"/>
      <w:lang w:val="en-US" w:eastAsia="zh-CN" w:bidi="ar-SA"/>
    </w:rPr>
  </w:style>
  <w:style w:type="character" w:customStyle="1" w:styleId="262">
    <w:name w:val="md"/>
    <w:basedOn w:val="63"/>
    <w:qFormat/>
    <w:uiPriority w:val="0"/>
    <w:rPr>
      <w:rFonts w:ascii="Arial" w:hAnsi="Arial" w:eastAsia="黑体" w:cs="Arial"/>
      <w:snapToGrid w:val="0"/>
      <w:kern w:val="0"/>
      <w:szCs w:val="21"/>
    </w:rPr>
  </w:style>
  <w:style w:type="character" w:customStyle="1" w:styleId="263">
    <w:name w:val="样式5 Char"/>
    <w:qFormat/>
    <w:uiPriority w:val="0"/>
    <w:rPr>
      <w:rFonts w:ascii="仿宋_GB2312" w:hAnsi="仿宋" w:eastAsia="仿宋_GB2312"/>
      <w:kern w:val="2"/>
      <w:sz w:val="24"/>
      <w:szCs w:val="24"/>
    </w:rPr>
  </w:style>
  <w:style w:type="character" w:customStyle="1" w:styleId="264">
    <w:name w:val="表格 Char Char"/>
    <w:qFormat/>
    <w:uiPriority w:val="0"/>
    <w:rPr>
      <w:rFonts w:ascii="宋体" w:hAnsi="宋体" w:eastAsia="宋体"/>
      <w:lang w:bidi="ar-SA"/>
    </w:rPr>
  </w:style>
  <w:style w:type="character" w:customStyle="1" w:styleId="265">
    <w:name w:val="font12gray1"/>
    <w:qFormat/>
    <w:uiPriority w:val="0"/>
    <w:rPr>
      <w:rFonts w:ascii="仿宋_GB2312" w:eastAsia="微软雅黑"/>
      <w:b/>
      <w:spacing w:val="300"/>
      <w:kern w:val="2"/>
      <w:sz w:val="18"/>
      <w:szCs w:val="18"/>
      <w:lang w:val="en-US" w:eastAsia="zh-CN" w:bidi="ar-SA"/>
    </w:rPr>
  </w:style>
  <w:style w:type="character" w:customStyle="1" w:styleId="266">
    <w:name w:val="txt"/>
    <w:qFormat/>
    <w:uiPriority w:val="0"/>
    <w:rPr>
      <w:rFonts w:ascii="仿宋_GB2312" w:eastAsia="微软雅黑"/>
      <w:b/>
      <w:kern w:val="2"/>
      <w:sz w:val="32"/>
      <w:szCs w:val="32"/>
      <w:lang w:val="en-US" w:eastAsia="zh-CN" w:bidi="ar-SA"/>
    </w:rPr>
  </w:style>
  <w:style w:type="character" w:customStyle="1" w:styleId="267">
    <w:name w:val="tw4winJump"/>
    <w:qFormat/>
    <w:uiPriority w:val="0"/>
    <w:rPr>
      <w:rFonts w:ascii="Courier New" w:hAnsi="Courier New" w:cs="Courier New"/>
      <w:color w:val="008080"/>
      <w:lang w:val="en-US" w:eastAsia="zh-CN"/>
    </w:rPr>
  </w:style>
  <w:style w:type="character" w:customStyle="1" w:styleId="268">
    <w:name w:val="Item List Char"/>
    <w:link w:val="269"/>
    <w:qFormat/>
    <w:uiPriority w:val="0"/>
    <w:rPr>
      <w:rFonts w:ascii="Arial"/>
      <w:bCs/>
      <w:sz w:val="21"/>
      <w:szCs w:val="21"/>
      <w:lang w:val="en-US" w:eastAsia="zh-CN" w:bidi="ar-SA"/>
    </w:rPr>
  </w:style>
  <w:style w:type="paragraph" w:customStyle="1" w:styleId="269">
    <w:name w:val="Item List"/>
    <w:link w:val="268"/>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270">
    <w:name w:val="Char Char121"/>
    <w:qFormat/>
    <w:uiPriority w:val="0"/>
    <w:rPr>
      <w:rFonts w:ascii="仿宋_GB2312" w:eastAsia="仿宋_GB2312"/>
      <w:b/>
      <w:bCs/>
      <w:kern w:val="2"/>
      <w:sz w:val="24"/>
      <w:szCs w:val="24"/>
      <w:lang w:val="zh-CN" w:eastAsia="zh-CN" w:bidi="ar-SA"/>
    </w:rPr>
  </w:style>
  <w:style w:type="paragraph" w:customStyle="1" w:styleId="271">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272">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273">
    <w:name w:val="4"/>
    <w:basedOn w:val="1"/>
    <w:next w:val="36"/>
    <w:qFormat/>
    <w:uiPriority w:val="0"/>
    <w:pPr>
      <w:spacing w:after="120" w:line="480" w:lineRule="auto"/>
      <w:ind w:left="420" w:leftChars="200"/>
    </w:pPr>
    <w:rPr>
      <w:sz w:val="24"/>
      <w:szCs w:val="20"/>
    </w:rPr>
  </w:style>
  <w:style w:type="paragraph" w:customStyle="1" w:styleId="274">
    <w:name w:val="Char Char1"/>
    <w:basedOn w:val="1"/>
    <w:qFormat/>
    <w:uiPriority w:val="0"/>
    <w:pPr>
      <w:widowControl/>
      <w:spacing w:after="160" w:line="240" w:lineRule="exact"/>
      <w:jc w:val="left"/>
    </w:pPr>
    <w:rPr>
      <w:rFonts w:eastAsia="仿宋_GB2312"/>
      <w:sz w:val="28"/>
    </w:rPr>
  </w:style>
  <w:style w:type="paragraph" w:customStyle="1" w:styleId="275">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276">
    <w:name w:val="标准有序列表（L1）"/>
    <w:basedOn w:val="15"/>
    <w:qFormat/>
    <w:uiPriority w:val="0"/>
    <w:pPr>
      <w:widowControl w:val="0"/>
      <w:tabs>
        <w:tab w:val="left" w:pos="0"/>
        <w:tab w:val="left" w:pos="992"/>
      </w:tabs>
      <w:adjustRightInd/>
      <w:snapToGrid/>
      <w:spacing w:line="360" w:lineRule="auto"/>
      <w:ind w:firstLine="0"/>
    </w:pPr>
    <w:rPr>
      <w:rFonts w:ascii="黑体" w:eastAsia="黑体"/>
      <w:kern w:val="2"/>
      <w:sz w:val="24"/>
    </w:rPr>
  </w:style>
  <w:style w:type="paragraph" w:customStyle="1" w:styleId="277">
    <w:name w:val="默认段落样式"/>
    <w:basedOn w:val="218"/>
    <w:qFormat/>
    <w:uiPriority w:val="0"/>
    <w:pPr>
      <w:spacing w:before="0"/>
      <w:ind w:firstLine="480"/>
      <w:outlineLvl w:val="2"/>
    </w:pPr>
    <w:rPr>
      <w:rFonts w:ascii="仿宋_GB2312" w:hAnsi="宋体" w:eastAsia="仿宋_GB2312"/>
      <w:color w:val="000000"/>
      <w:szCs w:val="24"/>
    </w:rPr>
  </w:style>
  <w:style w:type="paragraph" w:customStyle="1" w:styleId="278">
    <w:name w:val="Char Char1 Char Char Char Char Char Char"/>
    <w:basedOn w:val="1"/>
    <w:qFormat/>
    <w:uiPriority w:val="0"/>
    <w:rPr>
      <w:rFonts w:ascii="仿宋_GB2312" w:eastAsia="仿宋_GB2312"/>
      <w:b/>
      <w:sz w:val="32"/>
      <w:szCs w:val="20"/>
    </w:rPr>
  </w:style>
  <w:style w:type="paragraph" w:customStyle="1" w:styleId="279">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280">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281">
    <w:name w:val="文本正文 Char"/>
    <w:basedOn w:val="1"/>
    <w:qFormat/>
    <w:uiPriority w:val="0"/>
    <w:pPr>
      <w:spacing w:line="360" w:lineRule="auto"/>
      <w:ind w:firstLine="200" w:firstLineChars="200"/>
    </w:pPr>
    <w:rPr>
      <w:kern w:val="0"/>
      <w:sz w:val="24"/>
      <w:szCs w:val="20"/>
    </w:rPr>
  </w:style>
  <w:style w:type="paragraph" w:customStyle="1" w:styleId="282">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83">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84">
    <w:name w:val="文章标题"/>
    <w:next w:val="285"/>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85">
    <w:name w:val="封面公司名"/>
    <w:qFormat/>
    <w:uiPriority w:val="0"/>
    <w:pPr>
      <w:jc w:val="center"/>
    </w:pPr>
    <w:rPr>
      <w:rFonts w:ascii="Arial" w:hAnsi="Arial" w:eastAsia="楷体_GB2312" w:cs="宋体"/>
      <w:bCs/>
      <w:kern w:val="2"/>
      <w:sz w:val="28"/>
      <w:lang w:val="en-US" w:eastAsia="zh-CN" w:bidi="ar-SA"/>
    </w:rPr>
  </w:style>
  <w:style w:type="paragraph" w:customStyle="1" w:styleId="286">
    <w:name w:val="Bulleting First Indent 1"/>
    <w:basedOn w:val="23"/>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7">
    <w:name w:val="默认段落字体 Para Char Char Char Char Char Char Char"/>
    <w:basedOn w:val="1"/>
    <w:qFormat/>
    <w:uiPriority w:val="0"/>
    <w:rPr>
      <w:rFonts w:eastAsia="仿宋_GB2312"/>
      <w:sz w:val="28"/>
      <w:szCs w:val="20"/>
    </w:rPr>
  </w:style>
  <w:style w:type="paragraph" w:customStyle="1" w:styleId="288">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89">
    <w:name w:val="模板普通正文"/>
    <w:basedOn w:val="24"/>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90">
    <w:name w:val="trademark"/>
    <w:qFormat/>
    <w:uiPriority w:val="0"/>
    <w:pPr>
      <w:spacing w:after="60"/>
    </w:pPr>
    <w:rPr>
      <w:rFonts w:ascii="Futura Bk" w:hAnsi="Futura Bk" w:eastAsia="宋体" w:cs="Times New Roman"/>
      <w:sz w:val="15"/>
      <w:lang w:val="en-US" w:eastAsia="en-US" w:bidi="ar-SA"/>
    </w:rPr>
  </w:style>
  <w:style w:type="paragraph" w:customStyle="1" w:styleId="29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92">
    <w:name w:val="Char3"/>
    <w:basedOn w:val="1"/>
    <w:qFormat/>
    <w:uiPriority w:val="0"/>
    <w:pPr>
      <w:adjustRightInd/>
    </w:pPr>
    <w:rPr>
      <w:rFonts w:ascii="仿宋_GB2312" w:eastAsia="仿宋_GB2312"/>
      <w:b/>
      <w:sz w:val="32"/>
      <w:szCs w:val="32"/>
    </w:rPr>
  </w:style>
  <w:style w:type="paragraph" w:customStyle="1" w:styleId="293">
    <w:name w:val="默认段落字体 Para Char"/>
    <w:basedOn w:val="1"/>
    <w:qFormat/>
    <w:uiPriority w:val="0"/>
    <w:rPr>
      <w:rFonts w:ascii="Tahoma" w:hAnsi="Tahoma"/>
      <w:sz w:val="24"/>
      <w:szCs w:val="20"/>
    </w:rPr>
  </w:style>
  <w:style w:type="paragraph" w:customStyle="1" w:styleId="294">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95">
    <w:name w:val="Char Char Char Char Char Char Char Char Char Char Char Char1 Char"/>
    <w:basedOn w:val="1"/>
    <w:qFormat/>
    <w:uiPriority w:val="0"/>
    <w:rPr>
      <w:rFonts w:ascii="Tahoma" w:hAnsi="Tahoma" w:cs="仿宋_GB2312"/>
      <w:sz w:val="24"/>
      <w:szCs w:val="20"/>
    </w:rPr>
  </w:style>
  <w:style w:type="paragraph" w:customStyle="1" w:styleId="296">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7">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298">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299">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00">
    <w:name w:val="Char Char11 Char Char Char Char Char Char Char Char Char"/>
    <w:basedOn w:val="1"/>
    <w:qFormat/>
    <w:uiPriority w:val="0"/>
    <w:pPr>
      <w:spacing w:line="360" w:lineRule="auto"/>
    </w:pPr>
    <w:rPr>
      <w:szCs w:val="20"/>
    </w:rPr>
  </w:style>
  <w:style w:type="paragraph" w:customStyle="1" w:styleId="301">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302">
    <w:name w:val="正文缩进1"/>
    <w:basedOn w:val="1"/>
    <w:next w:val="24"/>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303">
    <w:name w:val="左对齐表格文字"/>
    <w:basedOn w:val="1"/>
    <w:qFormat/>
    <w:uiPriority w:val="0"/>
    <w:pPr>
      <w:adjustRightInd/>
      <w:ind w:firstLine="200" w:firstLineChars="200"/>
      <w:jc w:val="right"/>
    </w:pPr>
  </w:style>
  <w:style w:type="paragraph" w:customStyle="1" w:styleId="304">
    <w:name w:val="Char31"/>
    <w:basedOn w:val="1"/>
    <w:qFormat/>
    <w:uiPriority w:val="0"/>
    <w:pPr>
      <w:adjustRightInd/>
      <w:ind w:firstLine="200" w:firstLineChars="200"/>
    </w:pPr>
    <w:rPr>
      <w:rFonts w:ascii="Tahoma" w:hAnsi="Tahoma"/>
      <w:sz w:val="24"/>
      <w:szCs w:val="20"/>
    </w:rPr>
  </w:style>
  <w:style w:type="paragraph" w:customStyle="1" w:styleId="305">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06">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307">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08">
    <w:name w:val="彩色列表 - 强调文字颜色 11"/>
    <w:basedOn w:val="1"/>
    <w:qFormat/>
    <w:uiPriority w:val="0"/>
    <w:pPr>
      <w:adjustRightInd/>
      <w:ind w:firstLine="420" w:firstLineChars="200"/>
    </w:pPr>
    <w:rPr>
      <w:rFonts w:ascii="Calibri" w:hAnsi="Calibri"/>
      <w:szCs w:val="22"/>
    </w:rPr>
  </w:style>
  <w:style w:type="paragraph" w:customStyle="1" w:styleId="309">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310">
    <w:name w:val="MM Topic 3"/>
    <w:basedOn w:val="4"/>
    <w:qFormat/>
    <w:uiPriority w:val="0"/>
    <w:pPr>
      <w:numPr>
        <w:numId w:val="4"/>
      </w:numPr>
      <w:tabs>
        <w:tab w:val="left" w:pos="840"/>
        <w:tab w:val="left" w:pos="1680"/>
      </w:tabs>
      <w:adjustRightInd/>
    </w:pPr>
  </w:style>
  <w:style w:type="paragraph" w:customStyle="1" w:styleId="311">
    <w:name w:val="Normal0"/>
    <w:qFormat/>
    <w:uiPriority w:val="0"/>
    <w:rPr>
      <w:rFonts w:ascii="Times New Roman" w:hAnsi="Times New Roman" w:eastAsia="宋体" w:cs="Times New Roman"/>
      <w:lang w:val="en-US" w:eastAsia="en-US" w:bidi="ar-SA"/>
    </w:rPr>
  </w:style>
  <w:style w:type="paragraph" w:customStyle="1" w:styleId="312">
    <w:name w:val="Char Char Char Char Char Char Char"/>
    <w:basedOn w:val="1"/>
    <w:qFormat/>
    <w:uiPriority w:val="0"/>
    <w:rPr>
      <w:rFonts w:ascii="仿宋_GB2312" w:eastAsia="仿宋_GB2312"/>
      <w:b/>
      <w:sz w:val="32"/>
      <w:szCs w:val="32"/>
    </w:rPr>
  </w:style>
  <w:style w:type="paragraph" w:customStyle="1" w:styleId="313">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314">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5">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316">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17">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18">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19">
    <w:name w:val="Char2"/>
    <w:basedOn w:val="1"/>
    <w:qFormat/>
    <w:uiPriority w:val="0"/>
    <w:rPr>
      <w:rFonts w:ascii="仿宋_GB2312" w:eastAsia="仿宋_GB2312"/>
      <w:b/>
      <w:sz w:val="32"/>
      <w:szCs w:val="32"/>
    </w:rPr>
  </w:style>
  <w:style w:type="paragraph" w:customStyle="1" w:styleId="320">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321">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22">
    <w:name w:val="样式 正文文本缩进 2 + 仿宋_GB2312 黑色 行距: 1.5 倍行距"/>
    <w:basedOn w:val="36"/>
    <w:qFormat/>
    <w:uiPriority w:val="0"/>
    <w:pPr>
      <w:adjustRightInd/>
      <w:ind w:firstLine="560" w:firstLineChars="200"/>
      <w:textAlignment w:val="auto"/>
    </w:pPr>
    <w:rPr>
      <w:rFonts w:hAnsi="宋体" w:cs="宋体"/>
      <w:color w:val="000000"/>
      <w:kern w:val="2"/>
      <w:sz w:val="24"/>
    </w:rPr>
  </w:style>
  <w:style w:type="paragraph" w:customStyle="1" w:styleId="323">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324">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25">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26">
    <w:name w:val="Char Char Char"/>
    <w:basedOn w:val="1"/>
    <w:qFormat/>
    <w:uiPriority w:val="0"/>
    <w:rPr>
      <w:rFonts w:ascii="Tahoma" w:hAnsi="Tahoma"/>
      <w:sz w:val="24"/>
      <w:szCs w:val="20"/>
    </w:rPr>
  </w:style>
  <w:style w:type="paragraph" w:customStyle="1" w:styleId="327">
    <w:name w:val="MM Topic 4"/>
    <w:basedOn w:val="5"/>
    <w:qFormat/>
    <w:uiPriority w:val="0"/>
    <w:pPr>
      <w:numPr>
        <w:numId w:val="4"/>
      </w:numPr>
      <w:tabs>
        <w:tab w:val="left" w:pos="840"/>
        <w:tab w:val="left" w:pos="2100"/>
      </w:tabs>
      <w:adjustRightInd/>
    </w:pPr>
    <w:rPr>
      <w:lang w:val="en-US"/>
    </w:rPr>
  </w:style>
  <w:style w:type="paragraph" w:customStyle="1" w:styleId="328">
    <w:name w:val="标准小四"/>
    <w:basedOn w:val="1"/>
    <w:qFormat/>
    <w:uiPriority w:val="0"/>
    <w:pPr>
      <w:spacing w:line="360" w:lineRule="auto"/>
      <w:ind w:firstLine="480" w:firstLineChars="200"/>
    </w:pPr>
    <w:rPr>
      <w:rFonts w:ascii="Arial" w:hAnsi="Arial"/>
      <w:sz w:val="24"/>
      <w:szCs w:val="21"/>
    </w:rPr>
  </w:style>
  <w:style w:type="paragraph" w:customStyle="1" w:styleId="329">
    <w:name w:val="MM Topic 2"/>
    <w:basedOn w:val="3"/>
    <w:qFormat/>
    <w:uiPriority w:val="0"/>
    <w:pPr>
      <w:numPr>
        <w:ilvl w:val="1"/>
        <w:numId w:val="4"/>
      </w:numPr>
    </w:pPr>
    <w:rPr>
      <w:rFonts w:ascii="Arial" w:hAnsi="Arial" w:eastAsia="黑体"/>
      <w:lang w:val="en-US"/>
    </w:rPr>
  </w:style>
  <w:style w:type="paragraph" w:customStyle="1" w:styleId="330">
    <w:name w:val="表格标题2"/>
    <w:basedOn w:val="331"/>
    <w:qFormat/>
    <w:uiPriority w:val="0"/>
    <w:rPr>
      <w:b/>
    </w:rPr>
  </w:style>
  <w:style w:type="paragraph" w:customStyle="1" w:styleId="331">
    <w:name w:val="表格内文"/>
    <w:basedOn w:val="1"/>
    <w:qFormat/>
    <w:uiPriority w:val="0"/>
    <w:pPr>
      <w:adjustRightInd/>
      <w:spacing w:line="360" w:lineRule="auto"/>
    </w:pPr>
    <w:rPr>
      <w:rFonts w:ascii="宋体" w:hAnsi="宋体" w:cs="宋体"/>
      <w:color w:val="000000"/>
      <w:szCs w:val="20"/>
    </w:rPr>
  </w:style>
  <w:style w:type="paragraph" w:customStyle="1" w:styleId="332">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333">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334">
    <w:name w:val="Char Char11 Char Char Char Char Char Char Char Char Char1"/>
    <w:basedOn w:val="1"/>
    <w:qFormat/>
    <w:uiPriority w:val="0"/>
    <w:pPr>
      <w:spacing w:line="360" w:lineRule="auto"/>
    </w:pPr>
    <w:rPr>
      <w:szCs w:val="20"/>
    </w:rPr>
  </w:style>
  <w:style w:type="paragraph" w:customStyle="1" w:styleId="335">
    <w:name w:val="Char Char Char Char Char Char Char Char Char Char Char1 Char"/>
    <w:basedOn w:val="1"/>
    <w:qFormat/>
    <w:uiPriority w:val="0"/>
    <w:pPr>
      <w:adjustRightInd/>
    </w:pPr>
    <w:rPr>
      <w:rFonts w:ascii="Tahoma" w:hAnsi="Tahoma"/>
      <w:sz w:val="24"/>
    </w:rPr>
  </w:style>
  <w:style w:type="paragraph" w:customStyle="1" w:styleId="336">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337">
    <w:name w:val="a1"/>
    <w:basedOn w:val="1"/>
    <w:qFormat/>
    <w:uiPriority w:val="0"/>
    <w:pPr>
      <w:widowControl/>
      <w:spacing w:line="300" w:lineRule="atLeast"/>
      <w:jc w:val="left"/>
    </w:pPr>
    <w:rPr>
      <w:rFonts w:ascii="宋体" w:hAnsi="宋体"/>
      <w:kern w:val="0"/>
      <w:sz w:val="18"/>
      <w:szCs w:val="20"/>
    </w:rPr>
  </w:style>
  <w:style w:type="paragraph" w:customStyle="1" w:styleId="338">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39">
    <w:name w:val="Char"/>
    <w:basedOn w:val="1"/>
    <w:qFormat/>
    <w:uiPriority w:val="0"/>
    <w:rPr>
      <w:rFonts w:ascii="仿宋_GB2312" w:eastAsia="仿宋_GB2312"/>
      <w:b/>
      <w:sz w:val="32"/>
      <w:szCs w:val="32"/>
    </w:rPr>
  </w:style>
  <w:style w:type="paragraph" w:customStyle="1" w:styleId="340">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341">
    <w:name w:val="正文（首行缩进）"/>
    <w:basedOn w:val="24"/>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42">
    <w:name w:val="TOC 标题1"/>
    <w:basedOn w:val="2"/>
    <w:next w:val="1"/>
    <w:unhideWhenUsed/>
    <w:qFormat/>
    <w:uiPriority w:val="39"/>
    <w:pPr>
      <w:widowControl/>
      <w:tabs>
        <w:tab w:val="left" w:pos="432"/>
      </w:tabs>
      <w:spacing w:before="480" w:line="276" w:lineRule="auto"/>
      <w:jc w:val="left"/>
      <w:outlineLvl w:val="9"/>
    </w:pPr>
    <w:rPr>
      <w:rFonts w:ascii="Cambria" w:hAnsi="Cambria"/>
      <w:color w:val="365F91"/>
      <w:kern w:val="0"/>
      <w:sz w:val="28"/>
      <w:szCs w:val="28"/>
    </w:rPr>
  </w:style>
  <w:style w:type="paragraph" w:customStyle="1" w:styleId="343">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44">
    <w:name w:val="Char3 Char Char Char"/>
    <w:basedOn w:val="1"/>
    <w:qFormat/>
    <w:uiPriority w:val="0"/>
    <w:pPr>
      <w:widowControl/>
      <w:adjustRightInd/>
      <w:spacing w:after="160" w:line="240" w:lineRule="exact"/>
      <w:jc w:val="left"/>
    </w:pPr>
    <w:rPr>
      <w:szCs w:val="20"/>
    </w:rPr>
  </w:style>
  <w:style w:type="paragraph" w:customStyle="1" w:styleId="345">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346">
    <w:name w:val="正文1"/>
    <w:basedOn w:val="31"/>
    <w:qFormat/>
    <w:uiPriority w:val="0"/>
    <w:pPr>
      <w:ind w:left="0" w:leftChars="0" w:firstLine="480" w:firstLineChars="200"/>
    </w:pPr>
    <w:rPr>
      <w:rFonts w:ascii="仿宋_GB2312" w:hAnsi="Courier New" w:eastAsia="仿宋_GB2312"/>
      <w:kern w:val="28"/>
      <w:sz w:val="24"/>
    </w:rPr>
  </w:style>
  <w:style w:type="paragraph" w:customStyle="1" w:styleId="347">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4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4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350">
    <w:name w:val="样式 正文文本缩进 + 左侧:  2 字符 首行缩进:  2 字符"/>
    <w:basedOn w:val="24"/>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351">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352">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353">
    <w:name w:val="Char Char1 Char Char1 Char Char1"/>
    <w:basedOn w:val="1"/>
    <w:qFormat/>
    <w:uiPriority w:val="0"/>
    <w:pPr>
      <w:tabs>
        <w:tab w:val="left" w:pos="840"/>
      </w:tabs>
      <w:ind w:left="840" w:hanging="420"/>
    </w:pPr>
    <w:rPr>
      <w:rFonts w:ascii="Tahoma" w:hAnsi="Tahoma"/>
      <w:sz w:val="24"/>
    </w:rPr>
  </w:style>
  <w:style w:type="paragraph" w:customStyle="1" w:styleId="354">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55">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356">
    <w:name w:val="默认段落字体 Para Char Char Char Char"/>
    <w:basedOn w:val="1"/>
    <w:qFormat/>
    <w:uiPriority w:val="0"/>
    <w:pPr>
      <w:spacing w:line="360" w:lineRule="auto"/>
    </w:pPr>
    <w:rPr>
      <w:szCs w:val="20"/>
    </w:rPr>
  </w:style>
  <w:style w:type="paragraph" w:customStyle="1" w:styleId="357">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358">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9">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60">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361">
    <w:name w:val="正文21"/>
    <w:basedOn w:val="1"/>
    <w:qFormat/>
    <w:uiPriority w:val="0"/>
    <w:pPr>
      <w:adjustRightInd/>
      <w:spacing w:before="156" w:line="360" w:lineRule="auto"/>
      <w:ind w:firstLine="510" w:firstLineChars="200"/>
    </w:pPr>
    <w:rPr>
      <w:sz w:val="24"/>
      <w:szCs w:val="20"/>
    </w:rPr>
  </w:style>
  <w:style w:type="paragraph" w:customStyle="1" w:styleId="362">
    <w:name w:val="列出段落2"/>
    <w:basedOn w:val="1"/>
    <w:qFormat/>
    <w:uiPriority w:val="0"/>
    <w:pPr>
      <w:adjustRightInd/>
      <w:ind w:firstLine="420" w:firstLineChars="200"/>
    </w:pPr>
    <w:rPr>
      <w:rFonts w:ascii="宋体" w:hAnsi="宋体"/>
      <w:sz w:val="24"/>
    </w:rPr>
  </w:style>
  <w:style w:type="paragraph" w:customStyle="1" w:styleId="363">
    <w:name w:val="封面"/>
    <w:basedOn w:val="1"/>
    <w:qFormat/>
    <w:uiPriority w:val="0"/>
    <w:pPr>
      <w:spacing w:line="360" w:lineRule="atLeast"/>
      <w:jc w:val="right"/>
      <w:textAlignment w:val="baseline"/>
    </w:pPr>
    <w:rPr>
      <w:rFonts w:ascii="Symbol" w:hAnsi="Symbol"/>
      <w:kern w:val="0"/>
      <w:szCs w:val="20"/>
    </w:rPr>
  </w:style>
  <w:style w:type="paragraph" w:customStyle="1" w:styleId="364">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365">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66">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367">
    <w:name w:val="Char Char1 Char Char Char Char Char Char1"/>
    <w:basedOn w:val="1"/>
    <w:qFormat/>
    <w:uiPriority w:val="0"/>
    <w:rPr>
      <w:rFonts w:ascii="仿宋_GB2312" w:eastAsia="仿宋_GB2312"/>
      <w:b/>
      <w:sz w:val="32"/>
      <w:szCs w:val="20"/>
    </w:rPr>
  </w:style>
  <w:style w:type="paragraph" w:customStyle="1" w:styleId="368">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369">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370">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371">
    <w:name w:val="正文（首行缩进2字符）"/>
    <w:basedOn w:val="1"/>
    <w:qFormat/>
    <w:uiPriority w:val="0"/>
    <w:pPr>
      <w:adjustRightInd/>
      <w:spacing w:line="360" w:lineRule="auto"/>
      <w:ind w:firstLine="480" w:firstLineChars="200"/>
    </w:pPr>
    <w:rPr>
      <w:sz w:val="24"/>
      <w:szCs w:val="20"/>
    </w:rPr>
  </w:style>
  <w:style w:type="paragraph" w:customStyle="1" w:styleId="372">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373">
    <w:name w:val="表文字"/>
    <w:qFormat/>
    <w:uiPriority w:val="0"/>
    <w:rPr>
      <w:rFonts w:ascii="宋体" w:hAnsi="Times New Roman" w:eastAsia="宋体" w:cs="Times New Roman"/>
      <w:kern w:val="2"/>
      <w:lang w:val="en-US" w:eastAsia="zh-CN" w:bidi="ar-SA"/>
    </w:rPr>
  </w:style>
  <w:style w:type="paragraph" w:customStyle="1" w:styleId="374">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7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76">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377">
    <w:name w:val="有符号正文"/>
    <w:basedOn w:val="1"/>
    <w:qFormat/>
    <w:uiPriority w:val="0"/>
    <w:pPr>
      <w:adjustRightInd/>
      <w:spacing w:line="400" w:lineRule="exact"/>
      <w:ind w:firstLine="200" w:firstLineChars="200"/>
    </w:pPr>
    <w:rPr>
      <w:rFonts w:ascii="Arial" w:hAnsi="Arial"/>
    </w:rPr>
  </w:style>
  <w:style w:type="paragraph" w:customStyle="1" w:styleId="378">
    <w:name w:val="数字标题5"/>
    <w:basedOn w:val="6"/>
    <w:next w:val="1"/>
    <w:qFormat/>
    <w:uiPriority w:val="0"/>
    <w:pPr>
      <w:numPr>
        <w:numId w:val="5"/>
      </w:numPr>
      <w:tabs>
        <w:tab w:val="left" w:pos="480"/>
        <w:tab w:val="left" w:pos="1080"/>
      </w:tabs>
    </w:pPr>
  </w:style>
  <w:style w:type="paragraph" w:customStyle="1" w:styleId="379">
    <w:name w:val="Char12"/>
    <w:basedOn w:val="1"/>
    <w:qFormat/>
    <w:uiPriority w:val="0"/>
    <w:rPr>
      <w:rFonts w:ascii="仿宋_GB2312" w:eastAsia="仿宋_GB2312"/>
      <w:b/>
      <w:sz w:val="32"/>
      <w:szCs w:val="32"/>
    </w:rPr>
  </w:style>
  <w:style w:type="paragraph" w:customStyle="1" w:styleId="380">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381">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382">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383">
    <w:name w:val="Char Char11 Char Char Char"/>
    <w:basedOn w:val="1"/>
    <w:qFormat/>
    <w:uiPriority w:val="0"/>
    <w:pPr>
      <w:spacing w:line="360" w:lineRule="auto"/>
    </w:pPr>
    <w:rPr>
      <w:szCs w:val="20"/>
    </w:rPr>
  </w:style>
  <w:style w:type="paragraph" w:customStyle="1" w:styleId="384">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85">
    <w:name w:val="Char Char111"/>
    <w:basedOn w:val="1"/>
    <w:qFormat/>
    <w:uiPriority w:val="0"/>
    <w:pPr>
      <w:spacing w:line="360" w:lineRule="auto"/>
    </w:pPr>
    <w:rPr>
      <w:szCs w:val="20"/>
    </w:rPr>
  </w:style>
  <w:style w:type="paragraph" w:customStyle="1" w:styleId="386">
    <w:name w:val="文档正文"/>
    <w:basedOn w:val="1"/>
    <w:qFormat/>
    <w:uiPriority w:val="0"/>
    <w:pPr>
      <w:spacing w:line="480" w:lineRule="atLeast"/>
      <w:ind w:firstLine="567"/>
      <w:textAlignment w:val="baseline"/>
    </w:pPr>
    <w:rPr>
      <w:kern w:val="0"/>
      <w:sz w:val="24"/>
      <w:szCs w:val="20"/>
    </w:rPr>
  </w:style>
  <w:style w:type="paragraph" w:customStyle="1" w:styleId="387">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388">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389">
    <w:name w:val="Char1 Char Char Char3"/>
    <w:basedOn w:val="1"/>
    <w:qFormat/>
    <w:uiPriority w:val="0"/>
    <w:pPr>
      <w:adjustRightInd/>
      <w:ind w:firstLine="200" w:firstLineChars="200"/>
    </w:pPr>
    <w:rPr>
      <w:rFonts w:ascii="Tahoma" w:hAnsi="Tahoma"/>
      <w:sz w:val="24"/>
      <w:szCs w:val="20"/>
    </w:rPr>
  </w:style>
  <w:style w:type="paragraph" w:customStyle="1" w:styleId="390">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91">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392">
    <w:name w:val="Char2 Char Char Char"/>
    <w:basedOn w:val="1"/>
    <w:qFormat/>
    <w:uiPriority w:val="0"/>
    <w:rPr>
      <w:rFonts w:ascii="仿宋_GB2312" w:eastAsia="仿宋_GB2312"/>
      <w:b/>
      <w:sz w:val="32"/>
      <w:szCs w:val="32"/>
    </w:rPr>
  </w:style>
  <w:style w:type="paragraph" w:customStyle="1" w:styleId="393">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394">
    <w:name w:val="MM Topic 5"/>
    <w:basedOn w:val="6"/>
    <w:qFormat/>
    <w:uiPriority w:val="0"/>
    <w:pPr>
      <w:numPr>
        <w:numId w:val="4"/>
      </w:numPr>
      <w:tabs>
        <w:tab w:val="left" w:pos="840"/>
        <w:tab w:val="left" w:pos="2520"/>
      </w:tabs>
      <w:adjustRightInd/>
    </w:pPr>
  </w:style>
  <w:style w:type="paragraph" w:customStyle="1" w:styleId="395">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6">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7">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398">
    <w:name w:val="Char1 Char Char Char2"/>
    <w:basedOn w:val="1"/>
    <w:qFormat/>
    <w:uiPriority w:val="0"/>
    <w:pPr>
      <w:adjustRightInd/>
      <w:ind w:firstLine="200" w:firstLineChars="200"/>
    </w:pPr>
    <w:rPr>
      <w:rFonts w:ascii="Tahoma" w:hAnsi="Tahoma"/>
      <w:sz w:val="24"/>
      <w:szCs w:val="20"/>
    </w:rPr>
  </w:style>
  <w:style w:type="paragraph" w:customStyle="1" w:styleId="399">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400">
    <w:name w:val="Char1 Char Char Char"/>
    <w:basedOn w:val="1"/>
    <w:qFormat/>
    <w:uiPriority w:val="0"/>
    <w:rPr>
      <w:rFonts w:ascii="Tahoma" w:hAnsi="Tahoma"/>
      <w:sz w:val="24"/>
      <w:szCs w:val="20"/>
    </w:rPr>
  </w:style>
  <w:style w:type="paragraph" w:customStyle="1" w:styleId="401">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02">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403">
    <w:name w:val="Char Char Char Char Char Char Char1"/>
    <w:basedOn w:val="1"/>
    <w:qFormat/>
    <w:uiPriority w:val="0"/>
    <w:rPr>
      <w:rFonts w:ascii="仿宋_GB2312" w:eastAsia="仿宋_GB2312"/>
      <w:b/>
      <w:sz w:val="32"/>
      <w:szCs w:val="32"/>
    </w:rPr>
  </w:style>
  <w:style w:type="paragraph" w:customStyle="1" w:styleId="404">
    <w:name w:val="Char2 Char Char Char1"/>
    <w:basedOn w:val="1"/>
    <w:qFormat/>
    <w:uiPriority w:val="0"/>
    <w:rPr>
      <w:rFonts w:ascii="仿宋_GB2312" w:eastAsia="仿宋_GB2312"/>
      <w:b/>
      <w:sz w:val="32"/>
      <w:szCs w:val="32"/>
    </w:rPr>
  </w:style>
  <w:style w:type="paragraph" w:customStyle="1" w:styleId="405">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406">
    <w:name w:val="0"/>
    <w:basedOn w:val="1"/>
    <w:qFormat/>
    <w:uiPriority w:val="0"/>
    <w:pPr>
      <w:widowControl/>
    </w:pPr>
    <w:rPr>
      <w:kern w:val="0"/>
      <w:sz w:val="24"/>
      <w:szCs w:val="20"/>
    </w:rPr>
  </w:style>
  <w:style w:type="paragraph" w:customStyle="1" w:styleId="407">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408">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409">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10">
    <w:name w:val="默认段落字体 Para Char Char Char1 Char"/>
    <w:basedOn w:val="1"/>
    <w:qFormat/>
    <w:uiPriority w:val="0"/>
    <w:pPr>
      <w:spacing w:line="240" w:lineRule="atLeast"/>
      <w:ind w:left="420" w:firstLine="420"/>
    </w:pPr>
    <w:rPr>
      <w:sz w:val="24"/>
    </w:rPr>
  </w:style>
  <w:style w:type="paragraph" w:customStyle="1" w:styleId="411">
    <w:name w:val="样式 正文文本缩进 + 段前: 2 字符"/>
    <w:basedOn w:val="1"/>
    <w:qFormat/>
    <w:uiPriority w:val="0"/>
    <w:pPr>
      <w:adjustRightInd/>
      <w:ind w:left="420" w:leftChars="200"/>
      <w:jc w:val="left"/>
    </w:pPr>
    <w:rPr>
      <w:sz w:val="28"/>
      <w:szCs w:val="20"/>
      <w:lang w:eastAsia="zh-TW"/>
    </w:rPr>
  </w:style>
  <w:style w:type="paragraph" w:customStyle="1" w:styleId="412">
    <w:name w:val="标书标题2"/>
    <w:basedOn w:val="3"/>
    <w:qFormat/>
    <w:uiPriority w:val="0"/>
    <w:pPr>
      <w:keepLines w:val="0"/>
      <w:widowControl/>
      <w:numPr>
        <w:numId w:val="0"/>
      </w:numPr>
      <w:tabs>
        <w:tab w:val="left" w:pos="840"/>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413">
    <w:name w:val="表格"/>
    <w:basedOn w:val="1"/>
    <w:qFormat/>
    <w:uiPriority w:val="0"/>
    <w:pPr>
      <w:snapToGrid w:val="0"/>
      <w:ind w:firstLine="42" w:firstLineChars="21"/>
    </w:pPr>
    <w:rPr>
      <w:rFonts w:ascii="宋体" w:hAnsi="宋体"/>
      <w:kern w:val="0"/>
      <w:sz w:val="20"/>
      <w:szCs w:val="20"/>
    </w:rPr>
  </w:style>
  <w:style w:type="paragraph" w:customStyle="1" w:styleId="414">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415">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6">
    <w:name w:val="数字标题6"/>
    <w:basedOn w:val="7"/>
    <w:next w:val="1"/>
    <w:qFormat/>
    <w:uiPriority w:val="0"/>
    <w:pPr>
      <w:numPr>
        <w:numId w:val="5"/>
      </w:numPr>
      <w:tabs>
        <w:tab w:val="left" w:pos="480"/>
        <w:tab w:val="left" w:pos="1080"/>
      </w:tabs>
    </w:pPr>
    <w:rPr>
      <w:rFonts w:ascii="Times New Roman" w:hAnsi="Times New Roman" w:eastAsia="宋体"/>
      <w:i/>
    </w:rPr>
  </w:style>
  <w:style w:type="paragraph" w:customStyle="1" w:styleId="417">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418">
    <w:name w:val="P1"/>
    <w:basedOn w:val="1"/>
    <w:qFormat/>
    <w:uiPriority w:val="0"/>
    <w:pPr>
      <w:adjustRightInd/>
      <w:spacing w:line="288" w:lineRule="auto"/>
      <w:ind w:firstLine="425" w:firstLineChars="200"/>
    </w:pPr>
  </w:style>
  <w:style w:type="paragraph" w:customStyle="1" w:styleId="419">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20">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421">
    <w:name w:val="正文文字 2"/>
    <w:basedOn w:val="422"/>
    <w:next w:val="422"/>
    <w:qFormat/>
    <w:uiPriority w:val="0"/>
    <w:rPr>
      <w:rFonts w:ascii="宋体" w:eastAsia="宋体" w:cs="Times New Roman"/>
      <w:color w:val="auto"/>
    </w:rPr>
  </w:style>
  <w:style w:type="paragraph" w:customStyle="1" w:styleId="422">
    <w:name w:val="Default"/>
    <w:next w:val="423"/>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42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customStyle="1" w:styleId="424">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425">
    <w:name w:val="Char Char4 Char Char"/>
    <w:basedOn w:val="1"/>
    <w:qFormat/>
    <w:uiPriority w:val="0"/>
    <w:pPr>
      <w:widowControl/>
      <w:adjustRightInd/>
      <w:spacing w:after="160" w:line="240" w:lineRule="exact"/>
      <w:jc w:val="left"/>
    </w:pPr>
  </w:style>
  <w:style w:type="paragraph" w:customStyle="1" w:styleId="426">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427">
    <w:name w:val="_Style 12"/>
    <w:basedOn w:val="18"/>
    <w:qFormat/>
    <w:uiPriority w:val="0"/>
    <w:pPr>
      <w:snapToGrid w:val="0"/>
      <w:spacing w:line="360" w:lineRule="auto"/>
    </w:pPr>
  </w:style>
  <w:style w:type="paragraph" w:customStyle="1" w:styleId="428">
    <w:name w:val="MM Title"/>
    <w:basedOn w:val="58"/>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429">
    <w:name w:val="Char Char1 Char1"/>
    <w:basedOn w:val="1"/>
    <w:qFormat/>
    <w:uiPriority w:val="0"/>
    <w:rPr>
      <w:rFonts w:ascii="仿宋_GB2312" w:eastAsia="仿宋_GB2312"/>
      <w:b/>
      <w:sz w:val="32"/>
      <w:szCs w:val="32"/>
    </w:rPr>
  </w:style>
  <w:style w:type="paragraph" w:customStyle="1" w:styleId="430">
    <w:name w:val="Char2 Char Char"/>
    <w:basedOn w:val="1"/>
    <w:qFormat/>
    <w:uiPriority w:val="0"/>
    <w:pPr>
      <w:adjustRightInd/>
    </w:pPr>
    <w:rPr>
      <w:rFonts w:ascii="Tahoma" w:hAnsi="Tahoma"/>
      <w:sz w:val="24"/>
      <w:szCs w:val="20"/>
    </w:rPr>
  </w:style>
  <w:style w:type="paragraph" w:customStyle="1" w:styleId="431">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432">
    <w:name w:val="MM Empty"/>
    <w:basedOn w:val="1"/>
    <w:qFormat/>
    <w:uiPriority w:val="0"/>
    <w:pPr>
      <w:adjustRightInd/>
    </w:pPr>
  </w:style>
  <w:style w:type="paragraph" w:customStyle="1" w:styleId="433">
    <w:name w:val="正文表标题"/>
    <w:next w:val="348"/>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434">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35">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36">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437">
    <w:name w:val="Char2 Char Char1"/>
    <w:basedOn w:val="1"/>
    <w:qFormat/>
    <w:uiPriority w:val="0"/>
    <w:pPr>
      <w:adjustRightInd/>
    </w:pPr>
    <w:rPr>
      <w:rFonts w:ascii="Tahoma" w:hAnsi="Tahoma"/>
      <w:sz w:val="24"/>
      <w:szCs w:val="20"/>
    </w:rPr>
  </w:style>
  <w:style w:type="paragraph" w:customStyle="1" w:styleId="438">
    <w:name w:val="数字标题3"/>
    <w:basedOn w:val="4"/>
    <w:next w:val="1"/>
    <w:qFormat/>
    <w:uiPriority w:val="0"/>
    <w:pPr>
      <w:numPr>
        <w:numId w:val="0"/>
      </w:numPr>
      <w:spacing w:line="240" w:lineRule="auto"/>
    </w:pPr>
    <w:rPr>
      <w:sz w:val="28"/>
      <w:szCs w:val="28"/>
    </w:rPr>
  </w:style>
  <w:style w:type="paragraph" w:customStyle="1" w:styleId="439">
    <w:name w:val="彩色列表 - 强调文字颜色 12"/>
    <w:basedOn w:val="1"/>
    <w:qFormat/>
    <w:uiPriority w:val="0"/>
    <w:pPr>
      <w:adjustRightInd/>
      <w:ind w:firstLine="420" w:firstLineChars="200"/>
    </w:pPr>
    <w:rPr>
      <w:rFonts w:ascii="Calibri" w:hAnsi="Calibri"/>
      <w:szCs w:val="22"/>
    </w:rPr>
  </w:style>
  <w:style w:type="paragraph" w:customStyle="1" w:styleId="440">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color w:val="auto"/>
      <w:kern w:val="0"/>
      <w:sz w:val="24"/>
    </w:rPr>
  </w:style>
  <w:style w:type="paragraph" w:customStyle="1" w:styleId="441">
    <w:name w:val="样式6"/>
    <w:basedOn w:val="32"/>
    <w:qFormat/>
    <w:uiPriority w:val="0"/>
    <w:pPr>
      <w:spacing w:line="460" w:lineRule="exact"/>
      <w:outlineLvl w:val="2"/>
    </w:pPr>
    <w:rPr>
      <w:rFonts w:ascii="仿宋_GB2312" w:hAnsi="宋体" w:eastAsia="仿宋_GB2312"/>
      <w:b/>
      <w:bCs/>
      <w:sz w:val="24"/>
      <w:szCs w:val="24"/>
    </w:rPr>
  </w:style>
  <w:style w:type="paragraph" w:customStyle="1" w:styleId="442">
    <w:name w:val="正文（标题三）"/>
    <w:basedOn w:val="1"/>
    <w:qFormat/>
    <w:uiPriority w:val="0"/>
    <w:pPr>
      <w:spacing w:line="360" w:lineRule="auto"/>
      <w:ind w:firstLine="200" w:firstLineChars="200"/>
    </w:pPr>
    <w:rPr>
      <w:sz w:val="24"/>
    </w:rPr>
  </w:style>
  <w:style w:type="paragraph" w:customStyle="1" w:styleId="443">
    <w:name w:val="Char Char Char1 Char"/>
    <w:basedOn w:val="1"/>
    <w:qFormat/>
    <w:uiPriority w:val="0"/>
    <w:rPr>
      <w:szCs w:val="20"/>
    </w:rPr>
  </w:style>
  <w:style w:type="paragraph" w:customStyle="1" w:styleId="444">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445">
    <w:name w:val="正文文字缩进项目"/>
    <w:basedOn w:val="24"/>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446">
    <w:name w:val="标题五"/>
    <w:basedOn w:val="1"/>
    <w:qFormat/>
    <w:uiPriority w:val="0"/>
    <w:pPr>
      <w:adjustRightInd/>
      <w:spacing w:before="156" w:beforeLines="50" w:line="360" w:lineRule="auto"/>
    </w:pPr>
    <w:rPr>
      <w:b/>
      <w:sz w:val="24"/>
    </w:rPr>
  </w:style>
  <w:style w:type="paragraph" w:customStyle="1" w:styleId="447">
    <w:name w:val="Char Char Char Char Char Char Char Char Char Char Char Char1 Char1"/>
    <w:basedOn w:val="1"/>
    <w:qFormat/>
    <w:uiPriority w:val="0"/>
    <w:rPr>
      <w:rFonts w:ascii="Tahoma" w:hAnsi="Tahoma" w:cs="仿宋_GB2312"/>
      <w:sz w:val="24"/>
      <w:szCs w:val="20"/>
    </w:rPr>
  </w:style>
  <w:style w:type="paragraph" w:customStyle="1" w:styleId="448">
    <w:name w:val="Bulleted List"/>
    <w:basedOn w:val="1"/>
    <w:qFormat/>
    <w:uiPriority w:val="0"/>
    <w:pPr>
      <w:tabs>
        <w:tab w:val="left" w:pos="1260"/>
      </w:tabs>
      <w:adjustRightInd/>
      <w:ind w:left="1260" w:hanging="420"/>
    </w:pPr>
  </w:style>
  <w:style w:type="paragraph" w:customStyle="1" w:styleId="449">
    <w:name w:val="Char Char1 Char Char Char"/>
    <w:basedOn w:val="1"/>
    <w:qFormat/>
    <w:uiPriority w:val="0"/>
    <w:rPr>
      <w:rFonts w:ascii="仿宋_GB2312" w:eastAsia="仿宋_GB2312"/>
      <w:b/>
      <w:sz w:val="32"/>
      <w:szCs w:val="20"/>
    </w:rPr>
  </w:style>
  <w:style w:type="paragraph" w:customStyle="1" w:styleId="450">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451">
    <w:name w:val="数字标题2"/>
    <w:basedOn w:val="3"/>
    <w:next w:val="1"/>
    <w:qFormat/>
    <w:uiPriority w:val="0"/>
    <w:pPr>
      <w:numPr>
        <w:ilvl w:val="1"/>
        <w:numId w:val="5"/>
      </w:numPr>
    </w:pPr>
    <w:rPr>
      <w:rFonts w:ascii="Times New Roman" w:eastAsia="宋体"/>
      <w:i/>
      <w:sz w:val="36"/>
      <w:szCs w:val="36"/>
      <w:lang w:val="en-US"/>
    </w:rPr>
  </w:style>
  <w:style w:type="paragraph" w:customStyle="1" w:styleId="452">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453">
    <w:name w:val="Char21"/>
    <w:basedOn w:val="1"/>
    <w:qFormat/>
    <w:uiPriority w:val="0"/>
    <w:pPr>
      <w:adjustRightInd/>
      <w:ind w:firstLine="200" w:firstLineChars="200"/>
    </w:pPr>
    <w:rPr>
      <w:rFonts w:ascii="仿宋_GB2312" w:eastAsia="仿宋_GB2312"/>
      <w:b/>
      <w:sz w:val="32"/>
      <w:szCs w:val="32"/>
    </w:rPr>
  </w:style>
  <w:style w:type="paragraph" w:customStyle="1" w:styleId="454">
    <w:name w:val="表格项目符号 2"/>
    <w:basedOn w:val="28"/>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45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456">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457">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458">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459">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60">
    <w:name w:val="标书表格字体格式"/>
    <w:next w:val="307"/>
    <w:qFormat/>
    <w:uiPriority w:val="0"/>
    <w:rPr>
      <w:rFonts w:ascii="Times New Roman" w:hAnsi="Times New Roman" w:eastAsia="宋体" w:cs="Times New Roman"/>
      <w:kern w:val="2"/>
      <w:sz w:val="21"/>
      <w:szCs w:val="24"/>
      <w:lang w:val="en-US" w:eastAsia="zh-CN" w:bidi="ar-SA"/>
    </w:rPr>
  </w:style>
  <w:style w:type="paragraph" w:customStyle="1" w:styleId="461">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462">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63">
    <w:name w:val="五级条标题"/>
    <w:basedOn w:val="464"/>
    <w:next w:val="348"/>
    <w:qFormat/>
    <w:uiPriority w:val="0"/>
    <w:pPr>
      <w:numPr>
        <w:ilvl w:val="6"/>
      </w:numPr>
      <w:tabs>
        <w:tab w:val="left" w:pos="1260"/>
        <w:tab w:val="left" w:pos="1680"/>
        <w:tab w:val="left" w:pos="2100"/>
        <w:tab w:val="left" w:pos="2520"/>
        <w:tab w:val="left" w:pos="2940"/>
      </w:tabs>
      <w:outlineLvl w:val="6"/>
    </w:pPr>
  </w:style>
  <w:style w:type="paragraph" w:customStyle="1" w:styleId="464">
    <w:name w:val="四级条标题"/>
    <w:basedOn w:val="465"/>
    <w:next w:val="348"/>
    <w:qFormat/>
    <w:uiPriority w:val="0"/>
    <w:pPr>
      <w:numPr>
        <w:ilvl w:val="5"/>
        <w:numId w:val="4"/>
      </w:numPr>
      <w:tabs>
        <w:tab w:val="left" w:pos="1260"/>
        <w:tab w:val="left" w:pos="1680"/>
        <w:tab w:val="left" w:pos="2100"/>
        <w:tab w:val="left" w:pos="2520"/>
      </w:tabs>
      <w:outlineLvl w:val="5"/>
    </w:pPr>
  </w:style>
  <w:style w:type="paragraph" w:customStyle="1" w:styleId="465">
    <w:name w:val="三级条标题"/>
    <w:basedOn w:val="466"/>
    <w:next w:val="348"/>
    <w:qFormat/>
    <w:uiPriority w:val="0"/>
    <w:pPr>
      <w:tabs>
        <w:tab w:val="left" w:pos="1260"/>
        <w:tab w:val="left" w:pos="1680"/>
        <w:tab w:val="left" w:pos="2100"/>
        <w:tab w:val="left" w:pos="2520"/>
      </w:tabs>
      <w:ind w:left="2520"/>
      <w:outlineLvl w:val="4"/>
    </w:pPr>
  </w:style>
  <w:style w:type="paragraph" w:customStyle="1" w:styleId="466">
    <w:name w:val="二级条标题"/>
    <w:basedOn w:val="467"/>
    <w:next w:val="348"/>
    <w:qFormat/>
    <w:uiPriority w:val="0"/>
    <w:pPr>
      <w:tabs>
        <w:tab w:val="left" w:pos="1260"/>
        <w:tab w:val="left" w:pos="1680"/>
        <w:tab w:val="left" w:pos="2100"/>
      </w:tabs>
      <w:ind w:left="0"/>
      <w:outlineLvl w:val="3"/>
    </w:pPr>
  </w:style>
  <w:style w:type="paragraph" w:customStyle="1" w:styleId="467">
    <w:name w:val="一级条标题"/>
    <w:basedOn w:val="468"/>
    <w:next w:val="348"/>
    <w:qFormat/>
    <w:uiPriority w:val="0"/>
    <w:pPr>
      <w:tabs>
        <w:tab w:val="left" w:pos="1260"/>
        <w:tab w:val="left" w:pos="1680"/>
      </w:tabs>
      <w:spacing w:before="0" w:beforeLines="0" w:after="0" w:afterLines="0"/>
      <w:ind w:left="1680"/>
      <w:outlineLvl w:val="2"/>
    </w:pPr>
  </w:style>
  <w:style w:type="paragraph" w:customStyle="1" w:styleId="468">
    <w:name w:val="章标题"/>
    <w:next w:val="348"/>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469">
    <w:name w:val="数字标题4"/>
    <w:basedOn w:val="5"/>
    <w:qFormat/>
    <w:uiPriority w:val="0"/>
    <w:pPr>
      <w:numPr>
        <w:numId w:val="0"/>
      </w:numPr>
      <w:tabs>
        <w:tab w:val="left" w:pos="0"/>
      </w:tabs>
      <w:spacing w:before="0" w:after="0" w:line="360" w:lineRule="auto"/>
      <w:ind w:left="1"/>
    </w:pPr>
    <w:rPr>
      <w:rFonts w:eastAsia="仿宋_GB2312" w:cs="Arial"/>
      <w:b w:val="0"/>
      <w:bCs w:val="0"/>
      <w:color w:val="000000"/>
      <w:kern w:val="0"/>
      <w:sz w:val="24"/>
      <w:szCs w:val="24"/>
      <w:lang w:val="en-US"/>
    </w:rPr>
  </w:style>
  <w:style w:type="paragraph" w:customStyle="1" w:styleId="470">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71">
    <w:name w:val="样式 标题 22h2L1 Heading 2H2sect 1.2H21sect 1.21H22sect 1.2..."/>
    <w:basedOn w:val="3"/>
    <w:next w:val="1"/>
    <w:qFormat/>
    <w:uiPriority w:val="0"/>
    <w:pPr>
      <w:numPr>
        <w:numId w:val="0"/>
      </w:numPr>
      <w:tabs>
        <w:tab w:val="left" w:pos="425"/>
      </w:tabs>
      <w:spacing w:before="260" w:after="260" w:line="415" w:lineRule="auto"/>
      <w:ind w:left="425" w:hanging="425"/>
    </w:pPr>
    <w:rPr>
      <w:rFonts w:ascii="微软雅黑" w:hAnsi="微软雅黑" w:eastAsia="微软雅黑"/>
      <w:lang w:val="en-US"/>
    </w:rPr>
  </w:style>
  <w:style w:type="paragraph" w:customStyle="1" w:styleId="472">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473">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474">
    <w:name w:val="数字标题1"/>
    <w:basedOn w:val="2"/>
    <w:next w:val="1"/>
    <w:qFormat/>
    <w:uiPriority w:val="0"/>
    <w:pPr>
      <w:numPr>
        <w:ilvl w:val="0"/>
        <w:numId w:val="5"/>
      </w:numPr>
      <w:tabs>
        <w:tab w:val="left" w:pos="432"/>
      </w:tabs>
    </w:pPr>
  </w:style>
  <w:style w:type="paragraph" w:customStyle="1" w:styleId="475">
    <w:name w:val="正文 项目2"/>
    <w:basedOn w:val="374"/>
    <w:qFormat/>
    <w:uiPriority w:val="0"/>
    <w:pPr>
      <w:numPr>
        <w:ilvl w:val="0"/>
        <w:numId w:val="6"/>
      </w:numPr>
      <w:tabs>
        <w:tab w:val="clear" w:pos="840"/>
      </w:tabs>
      <w:spacing w:after="0"/>
    </w:pPr>
  </w:style>
  <w:style w:type="paragraph" w:customStyle="1" w:styleId="476">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77">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478">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479">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80">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1">
    <w:name w:val="Char Char Char1 Char1"/>
    <w:basedOn w:val="1"/>
    <w:qFormat/>
    <w:uiPriority w:val="0"/>
    <w:rPr>
      <w:szCs w:val="20"/>
    </w:rPr>
  </w:style>
  <w:style w:type="paragraph" w:customStyle="1" w:styleId="482">
    <w:name w:val="Char1 Char Char Char4"/>
    <w:basedOn w:val="1"/>
    <w:qFormat/>
    <w:uiPriority w:val="0"/>
    <w:pPr>
      <w:adjustRightInd/>
      <w:ind w:firstLine="200" w:firstLineChars="200"/>
    </w:pPr>
    <w:rPr>
      <w:rFonts w:ascii="Tahoma" w:hAnsi="Tahoma"/>
      <w:sz w:val="24"/>
      <w:szCs w:val="20"/>
    </w:rPr>
  </w:style>
  <w:style w:type="paragraph" w:customStyle="1" w:styleId="483">
    <w:name w:val="TOC 标题2"/>
    <w:basedOn w:val="2"/>
    <w:next w:val="1"/>
    <w:qFormat/>
    <w:uiPriority w:val="39"/>
    <w:pPr>
      <w:widowControl/>
      <w:tabs>
        <w:tab w:val="left" w:pos="432"/>
      </w:tabs>
      <w:spacing w:before="480" w:line="276" w:lineRule="auto"/>
      <w:jc w:val="left"/>
      <w:outlineLvl w:val="9"/>
    </w:pPr>
    <w:rPr>
      <w:rFonts w:ascii="Cambria" w:hAnsi="Cambria"/>
      <w:color w:val="365F91"/>
      <w:kern w:val="0"/>
      <w:sz w:val="28"/>
      <w:szCs w:val="28"/>
    </w:rPr>
  </w:style>
  <w:style w:type="paragraph" w:customStyle="1" w:styleId="484">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485">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86">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487">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88">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89">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490">
    <w:name w:val="Char Char11 Char Char Char1"/>
    <w:basedOn w:val="1"/>
    <w:qFormat/>
    <w:uiPriority w:val="0"/>
    <w:pPr>
      <w:spacing w:line="360" w:lineRule="auto"/>
    </w:pPr>
    <w:rPr>
      <w:szCs w:val="20"/>
    </w:rPr>
  </w:style>
  <w:style w:type="paragraph" w:customStyle="1" w:styleId="491">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492">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493">
    <w:name w:val="Char Char Char Char Char Char Char Char"/>
    <w:basedOn w:val="1"/>
    <w:qFormat/>
    <w:uiPriority w:val="0"/>
    <w:pPr>
      <w:tabs>
        <w:tab w:val="left" w:pos="360"/>
      </w:tabs>
    </w:pPr>
    <w:rPr>
      <w:sz w:val="24"/>
      <w:szCs w:val="20"/>
    </w:rPr>
  </w:style>
  <w:style w:type="paragraph" w:customStyle="1" w:styleId="494">
    <w:name w:val="表格（小）"/>
    <w:basedOn w:val="1"/>
    <w:qFormat/>
    <w:uiPriority w:val="0"/>
    <w:pPr>
      <w:adjustRightInd/>
      <w:snapToGrid w:val="0"/>
      <w:spacing w:line="300" w:lineRule="auto"/>
    </w:pPr>
    <w:rPr>
      <w:rFonts w:eastAsia="仿宋"/>
      <w:szCs w:val="21"/>
    </w:rPr>
  </w:style>
  <w:style w:type="paragraph" w:customStyle="1" w:styleId="495">
    <w:name w:val="列出段落3"/>
    <w:basedOn w:val="1"/>
    <w:qFormat/>
    <w:uiPriority w:val="0"/>
    <w:pPr>
      <w:adjustRightInd/>
      <w:spacing w:line="360" w:lineRule="auto"/>
      <w:ind w:firstLine="420" w:firstLineChars="200"/>
    </w:pPr>
    <w:rPr>
      <w:rFonts w:ascii="Calibri" w:hAnsi="Calibri"/>
      <w:sz w:val="24"/>
      <w:szCs w:val="22"/>
    </w:rPr>
  </w:style>
  <w:style w:type="paragraph" w:customStyle="1" w:styleId="496">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497">
    <w:name w:val="List Paragraph1"/>
    <w:basedOn w:val="1"/>
    <w:qFormat/>
    <w:uiPriority w:val="34"/>
    <w:pPr>
      <w:spacing w:line="360" w:lineRule="auto"/>
      <w:ind w:firstLine="200" w:firstLineChars="200"/>
    </w:pPr>
    <w:rPr>
      <w:rFonts w:eastAsia="楷体_GB2312" w:cs="Lucida Sans"/>
      <w:sz w:val="24"/>
    </w:rPr>
  </w:style>
  <w:style w:type="paragraph" w:customStyle="1" w:styleId="498">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4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00">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501">
    <w:name w:val="Table Text"/>
    <w:basedOn w:val="1"/>
    <w:qFormat/>
    <w:uiPriority w:val="0"/>
    <w:pPr>
      <w:widowControl/>
      <w:spacing w:before="60" w:after="60"/>
      <w:jc w:val="left"/>
    </w:pPr>
    <w:rPr>
      <w:kern w:val="0"/>
      <w:sz w:val="24"/>
    </w:rPr>
  </w:style>
  <w:style w:type="paragraph" w:customStyle="1" w:styleId="502">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503">
    <w:name w:val="Char23"/>
    <w:basedOn w:val="1"/>
    <w:qFormat/>
    <w:uiPriority w:val="0"/>
    <w:rPr>
      <w:rFonts w:ascii="仿宋_GB2312" w:eastAsia="仿宋_GB2312"/>
      <w:b/>
      <w:sz w:val="32"/>
      <w:szCs w:val="32"/>
    </w:rPr>
  </w:style>
  <w:style w:type="paragraph" w:customStyle="1" w:styleId="504">
    <w:name w:val="List Paragraph"/>
    <w:basedOn w:val="1"/>
    <w:qFormat/>
    <w:uiPriority w:val="34"/>
    <w:pPr>
      <w:spacing w:line="360" w:lineRule="auto"/>
      <w:ind w:firstLine="200" w:firstLineChars="200"/>
    </w:pPr>
    <w:rPr>
      <w:rFonts w:eastAsia="楷体_GB2312" w:cs="Lucida Sans"/>
      <w:sz w:val="24"/>
    </w:rPr>
  </w:style>
  <w:style w:type="paragraph" w:customStyle="1" w:styleId="505">
    <w:name w:val="Char Char Char Char Char Char Char Char1"/>
    <w:basedOn w:val="1"/>
    <w:qFormat/>
    <w:uiPriority w:val="0"/>
    <w:pPr>
      <w:tabs>
        <w:tab w:val="left" w:pos="360"/>
      </w:tabs>
    </w:pPr>
    <w:rPr>
      <w:sz w:val="24"/>
      <w:szCs w:val="20"/>
    </w:rPr>
  </w:style>
  <w:style w:type="paragraph" w:customStyle="1" w:styleId="506">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507">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508">
    <w:name w:val="样式 标题 1Level 1 HeadPIM 1Section Headh1l11Heading 0Datash..."/>
    <w:basedOn w:val="2"/>
    <w:qFormat/>
    <w:uiPriority w:val="0"/>
    <w:pPr>
      <w:widowControl/>
      <w:tabs>
        <w:tab w:val="left" w:pos="432"/>
      </w:tabs>
      <w:overflowPunct w:val="0"/>
      <w:autoSpaceDE w:val="0"/>
      <w:autoSpaceDN w:val="0"/>
      <w:spacing w:after="100"/>
      <w:jc w:val="left"/>
      <w:textAlignment w:val="baseline"/>
    </w:pPr>
    <w:rPr>
      <w:rFonts w:ascii="宋体" w:hAnsi="宋体"/>
      <w:sz w:val="24"/>
      <w:szCs w:val="20"/>
    </w:rPr>
  </w:style>
  <w:style w:type="paragraph" w:customStyle="1" w:styleId="509">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510">
    <w:name w:val="样式 标题 1 + 黑色 段前: 0.5 行 段后: 0.5 行1"/>
    <w:basedOn w:val="2"/>
    <w:qFormat/>
    <w:uiPriority w:val="0"/>
    <w:pPr>
      <w:pageBreakBefore/>
      <w:pBdr>
        <w:top w:val="single" w:color="auto" w:sz="4" w:space="1"/>
        <w:left w:val="single" w:color="auto" w:sz="4" w:space="4"/>
        <w:bottom w:val="single" w:color="auto" w:sz="4" w:space="1"/>
        <w:right w:val="single" w:color="auto" w:sz="4" w:space="4"/>
      </w:pBdr>
      <w:shd w:val="clear" w:color="auto" w:fill="333399"/>
      <w:tabs>
        <w:tab w:val="left" w:pos="432"/>
      </w:tabs>
      <w:spacing w:line="640" w:lineRule="exact"/>
      <w:ind w:left="431" w:hanging="431"/>
    </w:pPr>
    <w:rPr>
      <w:rFonts w:ascii="黑体" w:hAnsi="黑体" w:eastAsia="黑体" w:cs="Arial"/>
      <w:caps/>
      <w:color w:val="FFFFFF"/>
      <w:sz w:val="30"/>
      <w:szCs w:val="20"/>
    </w:rPr>
  </w:style>
  <w:style w:type="paragraph" w:customStyle="1" w:styleId="511">
    <w:name w:val="WW-正文文字缩进 2"/>
    <w:basedOn w:val="1"/>
    <w:qFormat/>
    <w:uiPriority w:val="0"/>
    <w:pPr>
      <w:suppressAutoHyphens/>
      <w:adjustRightInd/>
      <w:ind w:firstLine="420"/>
    </w:pPr>
    <w:rPr>
      <w:kern w:val="1"/>
      <w:szCs w:val="20"/>
    </w:rPr>
  </w:style>
  <w:style w:type="paragraph" w:customStyle="1" w:styleId="512">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513">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514">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customStyle="1" w:styleId="515">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16">
    <w:name w:val="四号　首行缩进"/>
    <w:basedOn w:val="1"/>
    <w:qFormat/>
    <w:uiPriority w:val="0"/>
    <w:pPr>
      <w:adjustRightInd/>
      <w:spacing w:line="360" w:lineRule="auto"/>
    </w:pPr>
    <w:rPr>
      <w:rFonts w:ascii="宋体" w:hAnsi="宋体"/>
      <w:szCs w:val="20"/>
    </w:rPr>
  </w:style>
  <w:style w:type="paragraph" w:customStyle="1" w:styleId="517">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518">
    <w:name w:val="bullet"/>
    <w:basedOn w:val="1"/>
    <w:qFormat/>
    <w:uiPriority w:val="0"/>
    <w:pPr>
      <w:tabs>
        <w:tab w:val="left" w:pos="840"/>
      </w:tabs>
      <w:adjustRightInd/>
      <w:ind w:left="840" w:hanging="420"/>
    </w:pPr>
  </w:style>
  <w:style w:type="paragraph" w:customStyle="1" w:styleId="519">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520">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21">
    <w:name w:val="单元格居中"/>
    <w:basedOn w:val="1"/>
    <w:qFormat/>
    <w:uiPriority w:val="0"/>
    <w:pPr>
      <w:adjustRightInd/>
      <w:spacing w:line="360" w:lineRule="auto"/>
      <w:jc w:val="center"/>
    </w:pPr>
    <w:rPr>
      <w:sz w:val="24"/>
    </w:rPr>
  </w:style>
  <w:style w:type="paragraph" w:customStyle="1" w:styleId="522">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523">
    <w:name w:val="Char Char14"/>
    <w:basedOn w:val="1"/>
    <w:qFormat/>
    <w:uiPriority w:val="0"/>
    <w:pPr>
      <w:spacing w:line="360" w:lineRule="auto"/>
    </w:pPr>
    <w:rPr>
      <w:rFonts w:ascii="Tahoma" w:hAnsi="Tahoma"/>
      <w:sz w:val="24"/>
      <w:szCs w:val="20"/>
    </w:rPr>
  </w:style>
  <w:style w:type="paragraph" w:customStyle="1" w:styleId="524">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525">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526">
    <w:name w:val="Char3 Char Char Char1"/>
    <w:basedOn w:val="1"/>
    <w:qFormat/>
    <w:uiPriority w:val="0"/>
    <w:pPr>
      <w:widowControl/>
      <w:adjustRightInd/>
      <w:spacing w:after="160" w:line="240" w:lineRule="exact"/>
      <w:jc w:val="left"/>
    </w:pPr>
    <w:rPr>
      <w:szCs w:val="20"/>
    </w:rPr>
  </w:style>
  <w:style w:type="paragraph" w:customStyle="1" w:styleId="527">
    <w:name w:val="Char Char Char Char Char Char Char Char Char Char"/>
    <w:basedOn w:val="1"/>
    <w:qFormat/>
    <w:uiPriority w:val="0"/>
    <w:rPr>
      <w:rFonts w:ascii="仿宋_GB2312" w:eastAsia="仿宋_GB2312"/>
      <w:b/>
      <w:sz w:val="32"/>
      <w:szCs w:val="32"/>
    </w:rPr>
  </w:style>
  <w:style w:type="paragraph" w:customStyle="1" w:styleId="528">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529">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530">
    <w:name w:val="EB_表格"/>
    <w:basedOn w:val="1"/>
    <w:qFormat/>
    <w:uiPriority w:val="0"/>
    <w:pPr>
      <w:adjustRightInd/>
      <w:spacing w:line="300" w:lineRule="auto"/>
      <w:jc w:val="center"/>
    </w:pPr>
  </w:style>
  <w:style w:type="paragraph" w:customStyle="1" w:styleId="531">
    <w:name w:val="Char5"/>
    <w:basedOn w:val="1"/>
    <w:qFormat/>
    <w:uiPriority w:val="0"/>
    <w:rPr>
      <w:rFonts w:ascii="仿宋_GB2312" w:eastAsia="仿宋_GB2312"/>
      <w:b/>
      <w:sz w:val="32"/>
      <w:szCs w:val="32"/>
    </w:rPr>
  </w:style>
  <w:style w:type="paragraph" w:customStyle="1" w:styleId="532">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33">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534">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535">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536">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537">
    <w:name w:val="MM Topic 1"/>
    <w:basedOn w:val="2"/>
    <w:qFormat/>
    <w:uiPriority w:val="0"/>
    <w:pPr>
      <w:tabs>
        <w:tab w:val="left" w:pos="432"/>
        <w:tab w:val="left" w:pos="840"/>
      </w:tabs>
      <w:ind w:left="840" w:hanging="420"/>
    </w:pPr>
  </w:style>
  <w:style w:type="paragraph" w:customStyle="1" w:styleId="538">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539">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540">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541">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542">
    <w:name w:val="列表内容"/>
    <w:basedOn w:val="1"/>
    <w:next w:val="1"/>
    <w:qFormat/>
    <w:uiPriority w:val="0"/>
    <w:pPr>
      <w:widowControl/>
      <w:tabs>
        <w:tab w:val="left" w:pos="840"/>
      </w:tabs>
      <w:ind w:left="840" w:hanging="420"/>
      <w:jc w:val="left"/>
    </w:pPr>
    <w:rPr>
      <w:kern w:val="0"/>
      <w:sz w:val="18"/>
    </w:rPr>
  </w:style>
  <w:style w:type="paragraph" w:customStyle="1" w:styleId="543">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544">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545">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546">
    <w:name w:val="Char1 Char Char Char1"/>
    <w:basedOn w:val="1"/>
    <w:qFormat/>
    <w:uiPriority w:val="0"/>
    <w:pPr>
      <w:adjustRightInd/>
      <w:ind w:firstLine="200" w:firstLineChars="200"/>
    </w:pPr>
    <w:rPr>
      <w:rFonts w:ascii="Tahoma" w:hAnsi="Tahoma"/>
      <w:sz w:val="24"/>
      <w:szCs w:val="20"/>
    </w:rPr>
  </w:style>
  <w:style w:type="paragraph" w:customStyle="1" w:styleId="547">
    <w:name w:val="图中文字"/>
    <w:basedOn w:val="1"/>
    <w:qFormat/>
    <w:uiPriority w:val="0"/>
    <w:pPr>
      <w:snapToGrid w:val="0"/>
      <w:spacing w:line="0" w:lineRule="atLeast"/>
      <w:ind w:firstLine="200" w:firstLineChars="200"/>
      <w:jc w:val="center"/>
    </w:pPr>
    <w:rPr>
      <w:sz w:val="24"/>
      <w:szCs w:val="20"/>
    </w:rPr>
  </w:style>
  <w:style w:type="paragraph" w:customStyle="1" w:styleId="548">
    <w:name w:val="正文段"/>
    <w:basedOn w:val="1"/>
    <w:qFormat/>
    <w:uiPriority w:val="0"/>
    <w:pPr>
      <w:widowControl/>
      <w:snapToGrid w:val="0"/>
      <w:spacing w:after="156" w:afterLines="50"/>
      <w:ind w:firstLine="200" w:firstLineChars="200"/>
    </w:pPr>
    <w:rPr>
      <w:kern w:val="0"/>
      <w:sz w:val="24"/>
      <w:szCs w:val="20"/>
    </w:rPr>
  </w:style>
  <w:style w:type="paragraph" w:customStyle="1" w:styleId="549">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550">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51">
    <w:name w:val="样式 样式2 + 左侧:  1 字符 右侧:  1 字符"/>
    <w:basedOn w:val="487"/>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552">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553">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54">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555">
    <w:name w:val="Char Char Char Char Char Char Char Char Char Char1"/>
    <w:basedOn w:val="1"/>
    <w:qFormat/>
    <w:uiPriority w:val="0"/>
    <w:rPr>
      <w:rFonts w:ascii="仿宋_GB2312" w:eastAsia="仿宋_GB2312"/>
      <w:b/>
      <w:sz w:val="32"/>
      <w:szCs w:val="32"/>
    </w:rPr>
  </w:style>
  <w:style w:type="paragraph" w:customStyle="1" w:styleId="556">
    <w:name w:val="注释"/>
    <w:basedOn w:val="1"/>
    <w:qFormat/>
    <w:uiPriority w:val="0"/>
    <w:pPr>
      <w:adjustRightInd/>
      <w:spacing w:line="360" w:lineRule="auto"/>
      <w:ind w:firstLine="480"/>
    </w:pPr>
    <w:rPr>
      <w:sz w:val="24"/>
    </w:rPr>
  </w:style>
  <w:style w:type="paragraph" w:customStyle="1" w:styleId="557">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58">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559">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60">
    <w:name w:val="正文 首行缩进:  2 字符 Char"/>
    <w:basedOn w:val="1"/>
    <w:qFormat/>
    <w:uiPriority w:val="0"/>
    <w:pPr>
      <w:adjustRightInd/>
      <w:spacing w:line="360" w:lineRule="auto"/>
      <w:ind w:firstLine="480"/>
    </w:pPr>
    <w:rPr>
      <w:rFonts w:cs="宋体"/>
      <w:sz w:val="24"/>
      <w:szCs w:val="20"/>
    </w:rPr>
  </w:style>
  <w:style w:type="paragraph" w:customStyle="1" w:styleId="561">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562">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563">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564">
    <w:name w:val="样式7"/>
    <w:basedOn w:val="370"/>
    <w:next w:val="1"/>
    <w:qFormat/>
    <w:uiPriority w:val="0"/>
    <w:pPr>
      <w:spacing w:after="156" w:afterLines="50"/>
      <w:jc w:val="left"/>
      <w:outlineLvl w:val="3"/>
    </w:pPr>
    <w:rPr>
      <w:sz w:val="24"/>
      <w:szCs w:val="24"/>
    </w:rPr>
  </w:style>
  <w:style w:type="paragraph" w:customStyle="1" w:styleId="565">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66">
    <w:name w:val="单元格左对齐"/>
    <w:basedOn w:val="1"/>
    <w:qFormat/>
    <w:uiPriority w:val="0"/>
    <w:pPr>
      <w:adjustRightInd/>
      <w:spacing w:line="360" w:lineRule="auto"/>
    </w:pPr>
    <w:rPr>
      <w:sz w:val="24"/>
    </w:rPr>
  </w:style>
  <w:style w:type="paragraph" w:customStyle="1" w:styleId="567">
    <w:name w:val="Char Char1 Char Char Char1"/>
    <w:basedOn w:val="1"/>
    <w:qFormat/>
    <w:uiPriority w:val="0"/>
    <w:rPr>
      <w:rFonts w:ascii="仿宋_GB2312" w:eastAsia="仿宋_GB2312"/>
      <w:b/>
      <w:sz w:val="32"/>
      <w:szCs w:val="32"/>
    </w:rPr>
  </w:style>
  <w:style w:type="paragraph" w:customStyle="1" w:styleId="568">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69">
    <w:name w:val="样式 标题 1章节第一层h1H"/>
    <w:basedOn w:val="2"/>
    <w:qFormat/>
    <w:uiPriority w:val="0"/>
    <w:pPr>
      <w:tabs>
        <w:tab w:val="left" w:pos="432"/>
      </w:tabs>
      <w:autoSpaceDE w:val="0"/>
      <w:autoSpaceDN w:val="0"/>
      <w:spacing w:line="240" w:lineRule="auto"/>
      <w:jc w:val="left"/>
      <w:outlineLvl w:val="9"/>
    </w:pPr>
    <w:rPr>
      <w:kern w:val="0"/>
      <w:sz w:val="52"/>
      <w:szCs w:val="52"/>
      <w:lang w:val="zh-CN"/>
    </w:rPr>
  </w:style>
  <w:style w:type="paragraph" w:customStyle="1" w:styleId="570">
    <w:name w:val="正文文字表格居中"/>
    <w:basedOn w:val="1"/>
    <w:next w:val="55"/>
    <w:qFormat/>
    <w:uiPriority w:val="0"/>
    <w:pPr>
      <w:snapToGrid w:val="0"/>
      <w:spacing w:line="360" w:lineRule="auto"/>
    </w:pPr>
    <w:rPr>
      <w:rFonts w:ascii="宋体"/>
      <w:b/>
      <w:sz w:val="24"/>
      <w:szCs w:val="20"/>
    </w:rPr>
  </w:style>
  <w:style w:type="paragraph" w:customStyle="1" w:styleId="571">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572">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573">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574">
    <w:name w:val="Thf"/>
    <w:basedOn w:val="515"/>
    <w:qFormat/>
    <w:uiPriority w:val="0"/>
    <w:pPr>
      <w:ind w:left="0"/>
    </w:pPr>
  </w:style>
  <w:style w:type="paragraph" w:customStyle="1" w:styleId="575">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576">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577">
    <w:name w:val="Char19"/>
    <w:basedOn w:val="1"/>
    <w:qFormat/>
    <w:uiPriority w:val="0"/>
    <w:pPr>
      <w:adjustRightInd/>
    </w:pPr>
    <w:rPr>
      <w:szCs w:val="20"/>
    </w:rPr>
  </w:style>
  <w:style w:type="paragraph" w:customStyle="1" w:styleId="578">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579">
    <w:name w:val="样式3"/>
    <w:basedOn w:val="487"/>
    <w:qFormat/>
    <w:uiPriority w:val="0"/>
    <w:pPr>
      <w:spacing w:before="312" w:beforeLines="100"/>
      <w:jc w:val="left"/>
    </w:pPr>
  </w:style>
  <w:style w:type="paragraph" w:customStyle="1" w:styleId="580">
    <w:name w:val="首行缩进"/>
    <w:basedOn w:val="1"/>
    <w:qFormat/>
    <w:uiPriority w:val="0"/>
    <w:pPr>
      <w:spacing w:line="360" w:lineRule="auto"/>
      <w:ind w:firstLine="480" w:firstLineChars="200"/>
    </w:pPr>
    <w:rPr>
      <w:rFonts w:ascii="宋体"/>
      <w:sz w:val="24"/>
      <w:szCs w:val="20"/>
    </w:rPr>
  </w:style>
  <w:style w:type="paragraph" w:customStyle="1" w:styleId="581">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582">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83">
    <w:name w:val="样式 标题 4PIM 4H4h4bulletblbbH41H42H43H44H45H46H47H48...1"/>
    <w:basedOn w:val="5"/>
    <w:qFormat/>
    <w:uiPriority w:val="0"/>
    <w:pPr>
      <w:widowControl/>
      <w:jc w:val="left"/>
    </w:pPr>
    <w:rPr>
      <w:rFonts w:cs="宋体"/>
      <w:sz w:val="24"/>
      <w:szCs w:val="20"/>
    </w:rPr>
  </w:style>
  <w:style w:type="paragraph" w:customStyle="1" w:styleId="584">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585">
    <w:name w:val="样式 正文缩进 + 首行缩进:  2 字符"/>
    <w:basedOn w:val="15"/>
    <w:qFormat/>
    <w:uiPriority w:val="0"/>
    <w:pPr>
      <w:widowControl w:val="0"/>
      <w:adjustRightInd/>
      <w:snapToGrid/>
      <w:spacing w:line="360" w:lineRule="auto"/>
      <w:ind w:firstLine="200" w:firstLineChars="200"/>
    </w:pPr>
    <w:rPr>
      <w:rFonts w:ascii="Times New Roman" w:cs="宋体"/>
      <w:color w:val="auto"/>
      <w:kern w:val="2"/>
      <w:sz w:val="24"/>
    </w:rPr>
  </w:style>
  <w:style w:type="paragraph" w:customStyle="1" w:styleId="586">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587">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588">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589">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590">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591">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592">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593">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594">
    <w:name w:val="p0"/>
    <w:basedOn w:val="1"/>
    <w:qFormat/>
    <w:uiPriority w:val="0"/>
    <w:pPr>
      <w:widowControl/>
      <w:adjustRightInd/>
    </w:pPr>
    <w:rPr>
      <w:kern w:val="0"/>
      <w:szCs w:val="21"/>
    </w:rPr>
  </w:style>
  <w:style w:type="paragraph" w:customStyle="1" w:styleId="595">
    <w:name w:val="修订1"/>
    <w:qFormat/>
    <w:uiPriority w:val="0"/>
    <w:rPr>
      <w:rFonts w:ascii="Times New Roman" w:hAnsi="Times New Roman" w:eastAsia="宋体" w:cs="Times New Roman"/>
      <w:kern w:val="2"/>
      <w:sz w:val="21"/>
      <w:lang w:val="en-US" w:eastAsia="zh-CN" w:bidi="ar-SA"/>
    </w:rPr>
  </w:style>
  <w:style w:type="paragraph" w:customStyle="1" w:styleId="596">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597">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598">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599">
    <w:name w:val="Char Char13"/>
    <w:basedOn w:val="1"/>
    <w:qFormat/>
    <w:uiPriority w:val="0"/>
    <w:pPr>
      <w:widowControl/>
      <w:spacing w:after="160" w:line="240" w:lineRule="exact"/>
      <w:jc w:val="left"/>
    </w:pPr>
    <w:rPr>
      <w:rFonts w:eastAsia="仿宋_GB2312"/>
      <w:sz w:val="28"/>
    </w:rPr>
  </w:style>
  <w:style w:type="paragraph" w:customStyle="1" w:styleId="600">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01">
    <w:name w:val="FA正文"/>
    <w:basedOn w:val="1"/>
    <w:qFormat/>
    <w:uiPriority w:val="0"/>
    <w:pPr>
      <w:spacing w:line="360" w:lineRule="auto"/>
      <w:ind w:firstLine="480" w:firstLineChars="200"/>
    </w:pPr>
    <w:rPr>
      <w:rFonts w:hAnsi="宋体"/>
      <w:sz w:val="24"/>
      <w:szCs w:val="20"/>
    </w:rPr>
  </w:style>
  <w:style w:type="paragraph" w:customStyle="1" w:styleId="602">
    <w:name w:val="CM14"/>
    <w:basedOn w:val="422"/>
    <w:next w:val="422"/>
    <w:qFormat/>
    <w:uiPriority w:val="0"/>
    <w:pPr>
      <w:spacing w:after="68"/>
    </w:pPr>
    <w:rPr>
      <w:rFonts w:ascii="FHLHE E+ Futura Bk" w:eastAsia="FHLHE E+ Futura Bk" w:cs="Times New Roman"/>
      <w:color w:val="auto"/>
    </w:rPr>
  </w:style>
  <w:style w:type="paragraph" w:customStyle="1" w:styleId="603">
    <w:name w:val="Char Char Char Char2"/>
    <w:basedOn w:val="1"/>
    <w:qFormat/>
    <w:uiPriority w:val="0"/>
    <w:rPr>
      <w:rFonts w:ascii="Tahoma" w:hAnsi="Tahoma"/>
      <w:sz w:val="24"/>
      <w:szCs w:val="20"/>
    </w:rPr>
  </w:style>
  <w:style w:type="paragraph" w:customStyle="1" w:styleId="604">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605">
    <w:name w:val="样式1 + (中宋体"/>
    <w:basedOn w:val="486"/>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606">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607">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608">
    <w:name w:val="带编号样式"/>
    <w:basedOn w:val="281"/>
    <w:qFormat/>
    <w:uiPriority w:val="0"/>
    <w:pPr>
      <w:tabs>
        <w:tab w:val="left" w:pos="840"/>
      </w:tabs>
      <w:snapToGrid w:val="0"/>
      <w:ind w:left="840" w:hanging="420" w:firstLineChars="0"/>
    </w:pPr>
    <w:rPr>
      <w:rFonts w:ascii="仿宋_GB2312" w:eastAsia="仿宋_GB2312"/>
      <w:color w:val="000000"/>
    </w:rPr>
  </w:style>
  <w:style w:type="paragraph" w:customStyle="1" w:styleId="609">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610">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611">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612">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13">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614">
    <w:name w:val="Char1 Char Char Char5"/>
    <w:basedOn w:val="1"/>
    <w:qFormat/>
    <w:uiPriority w:val="0"/>
    <w:pPr>
      <w:adjustRightInd/>
      <w:ind w:firstLine="200" w:firstLineChars="200"/>
    </w:pPr>
    <w:rPr>
      <w:rFonts w:ascii="Tahoma" w:hAnsi="Tahoma"/>
      <w:sz w:val="24"/>
      <w:szCs w:val="20"/>
    </w:rPr>
  </w:style>
  <w:style w:type="paragraph" w:customStyle="1" w:styleId="615">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6">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7">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18">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9">
    <w:name w:val="纯文本_0_0"/>
    <w:basedOn w:val="618"/>
    <w:link w:val="620"/>
    <w:qFormat/>
    <w:uiPriority w:val="0"/>
    <w:rPr>
      <w:rFonts w:ascii="宋体" w:hAnsi="Courier New"/>
      <w:szCs w:val="21"/>
    </w:rPr>
  </w:style>
  <w:style w:type="character" w:customStyle="1" w:styleId="620">
    <w:name w:val="纯文本 Char_0"/>
    <w:link w:val="619"/>
    <w:qFormat/>
    <w:uiPriority w:val="0"/>
    <w:rPr>
      <w:rFonts w:ascii="宋体" w:hAnsi="Courier New"/>
      <w:kern w:val="2"/>
      <w:sz w:val="21"/>
      <w:szCs w:val="21"/>
      <w:lang w:val="en-US" w:eastAsia="zh-CN"/>
    </w:rPr>
  </w:style>
  <w:style w:type="character" w:customStyle="1" w:styleId="621">
    <w:name w:val="纯文本 Char1"/>
    <w:link w:val="622"/>
    <w:qFormat/>
    <w:uiPriority w:val="0"/>
    <w:rPr>
      <w:rFonts w:ascii="宋体" w:hAnsi="Courier New"/>
    </w:rPr>
  </w:style>
  <w:style w:type="paragraph" w:customStyle="1" w:styleId="622">
    <w:name w:val="纯文本1"/>
    <w:basedOn w:val="1"/>
    <w:link w:val="621"/>
    <w:qFormat/>
    <w:uiPriority w:val="0"/>
    <w:pPr>
      <w:adjustRightInd/>
    </w:pPr>
    <w:rPr>
      <w:rFonts w:ascii="宋体" w:hAnsi="Courier New"/>
      <w:kern w:val="0"/>
      <w:sz w:val="20"/>
      <w:szCs w:val="20"/>
    </w:rPr>
  </w:style>
  <w:style w:type="paragraph" w:customStyle="1" w:styleId="623">
    <w:name w:val="索引 11"/>
    <w:basedOn w:val="1"/>
    <w:next w:val="1"/>
    <w:qFormat/>
    <w:uiPriority w:val="99"/>
    <w:pPr>
      <w:adjustRightInd/>
      <w:spacing w:line="360" w:lineRule="auto"/>
    </w:pPr>
    <w:rPr>
      <w:rFonts w:ascii="仿宋_GB2312" w:eastAsia="仿宋_GB2312"/>
      <w:sz w:val="24"/>
      <w:szCs w:val="20"/>
    </w:rPr>
  </w:style>
  <w:style w:type="character" w:customStyle="1" w:styleId="624">
    <w:name w:val="正文缩进 字符"/>
    <w:qFormat/>
    <w:uiPriority w:val="0"/>
    <w:rPr>
      <w:rFonts w:ascii="宋体" w:eastAsia="宋体"/>
      <w:snapToGrid w:val="0"/>
      <w:color w:val="000000"/>
      <w:kern w:val="28"/>
      <w:sz w:val="28"/>
      <w:lang w:val="en-US" w:eastAsia="zh-CN" w:bidi="ar-SA"/>
    </w:rPr>
  </w:style>
  <w:style w:type="character" w:customStyle="1" w:styleId="625">
    <w:name w:val="纯文本 字符"/>
    <w:qFormat/>
    <w:uiPriority w:val="0"/>
    <w:rPr>
      <w:rFonts w:ascii="宋体" w:hAnsi="Courier New" w:eastAsia="宋体" w:cs="Arial"/>
      <w:snapToGrid w:val="0"/>
      <w:kern w:val="2"/>
      <w:sz w:val="21"/>
      <w:szCs w:val="21"/>
      <w:lang w:val="en-US" w:eastAsia="zh-CN" w:bidi="ar-SA"/>
    </w:rPr>
  </w:style>
  <w:style w:type="character" w:customStyle="1" w:styleId="626">
    <w:name w:val="正文文本缩进 字符"/>
    <w:qFormat/>
    <w:uiPriority w:val="0"/>
    <w:rPr>
      <w:rFonts w:ascii="宋体" w:hAnsi="宋体"/>
      <w:kern w:val="2"/>
      <w:sz w:val="24"/>
      <w:szCs w:val="24"/>
    </w:rPr>
  </w:style>
  <w:style w:type="character" w:customStyle="1" w:styleId="627">
    <w:name w:val="bookmark-item"/>
    <w:qFormat/>
    <w:uiPriority w:val="0"/>
    <w:rPr>
      <w:rFonts w:ascii="Arial" w:hAnsi="Arial" w:eastAsia="黑体" w:cs="Arial"/>
      <w:kern w:val="0"/>
      <w:szCs w:val="21"/>
    </w:rPr>
  </w:style>
  <w:style w:type="character" w:customStyle="1" w:styleId="628">
    <w:name w:val="fontstyle01"/>
    <w:qFormat/>
    <w:uiPriority w:val="0"/>
    <w:rPr>
      <w:rFonts w:hint="eastAsia" w:ascii="宋体" w:hAnsi="宋体" w:eastAsia="宋体" w:cs="Arial"/>
      <w:color w:val="000000"/>
      <w:kern w:val="0"/>
      <w:sz w:val="36"/>
      <w:szCs w:val="36"/>
    </w:rPr>
  </w:style>
  <w:style w:type="character" w:customStyle="1" w:styleId="629">
    <w:name w:val="正文文本缩进 Char3"/>
    <w:qFormat/>
    <w:uiPriority w:val="0"/>
    <w:rPr>
      <w:rFonts w:ascii="宋体" w:hAnsi="宋体"/>
      <w:kern w:val="2"/>
      <w:sz w:val="24"/>
      <w:szCs w:val="24"/>
    </w:rPr>
  </w:style>
  <w:style w:type="paragraph" w:customStyle="1" w:styleId="630">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631">
    <w:name w:val="页脚 字符"/>
    <w:link w:val="38"/>
    <w:qFormat/>
    <w:locked/>
    <w:uiPriority w:val="99"/>
    <w:rPr>
      <w:kern w:val="2"/>
      <w:sz w:val="18"/>
      <w:szCs w:val="18"/>
    </w:rPr>
  </w:style>
  <w:style w:type="character" w:customStyle="1" w:styleId="632">
    <w:name w:val="页眉 字符"/>
    <w:link w:val="40"/>
    <w:qFormat/>
    <w:uiPriority w:val="99"/>
    <w:rPr>
      <w:kern w:val="2"/>
      <w:sz w:val="18"/>
      <w:szCs w:val="18"/>
    </w:rPr>
  </w:style>
  <w:style w:type="paragraph" w:customStyle="1" w:styleId="633">
    <w:name w:val="封面第一行"/>
    <w:basedOn w:val="1"/>
    <w:qFormat/>
    <w:uiPriority w:val="0"/>
    <w:pPr>
      <w:spacing w:line="360" w:lineRule="auto"/>
      <w:jc w:val="center"/>
    </w:pPr>
    <w:rPr>
      <w:rFonts w:ascii="黑体" w:hAnsi="宋体" w:eastAsia="黑体" w:cs="宋体"/>
      <w:sz w:val="56"/>
      <w:szCs w:val="20"/>
    </w:rPr>
  </w:style>
  <w:style w:type="paragraph" w:customStyle="1" w:styleId="634">
    <w:name w:val="宋小四行"/>
    <w:basedOn w:val="1"/>
    <w:qFormat/>
    <w:uiPriority w:val="0"/>
    <w:pPr>
      <w:autoSpaceDE w:val="0"/>
      <w:autoSpaceDN w:val="0"/>
      <w:spacing w:line="360" w:lineRule="auto"/>
      <w:ind w:firstLine="480" w:firstLineChars="200"/>
      <w:jc w:val="left"/>
    </w:pPr>
    <w:rPr>
      <w:rFonts w:ascii="宋体" w:hAnsi="宋体" w:cs="宋体"/>
      <w:sz w:val="24"/>
    </w:rPr>
  </w:style>
  <w:style w:type="character" w:customStyle="1" w:styleId="635">
    <w:name w:val="NormalCharacter"/>
    <w:semiHidden/>
    <w:qFormat/>
    <w:uiPriority w:val="0"/>
  </w:style>
  <w:style w:type="paragraph" w:customStyle="1" w:styleId="636">
    <w:name w:val="BodyText1I2"/>
    <w:basedOn w:val="637"/>
    <w:qFormat/>
    <w:uiPriority w:val="0"/>
    <w:pPr>
      <w:snapToGrid w:val="0"/>
      <w:spacing w:line="360" w:lineRule="auto"/>
      <w:ind w:firstLine="420" w:firstLineChars="200"/>
      <w:jc w:val="left"/>
    </w:pPr>
    <w:rPr>
      <w:kern w:val="0"/>
      <w:sz w:val="24"/>
      <w:szCs w:val="22"/>
    </w:rPr>
  </w:style>
  <w:style w:type="paragraph" w:customStyle="1" w:styleId="637">
    <w:name w:val="BodyTextIndent"/>
    <w:basedOn w:val="1"/>
    <w:qFormat/>
    <w:uiPriority w:val="0"/>
    <w:pPr>
      <w:spacing w:after="120"/>
      <w:ind w:left="420" w:leftChars="200"/>
    </w:pPr>
  </w:style>
  <w:style w:type="paragraph" w:customStyle="1" w:styleId="638">
    <w:name w:val="UserStyle_0"/>
    <w:basedOn w:val="1"/>
    <w:qFormat/>
    <w:uiPriority w:val="0"/>
    <w:pPr>
      <w:spacing w:before="156" w:line="360" w:lineRule="auto"/>
      <w:ind w:firstLine="510" w:firstLineChars="200"/>
      <w:textAlignment w:val="baseline"/>
    </w:pPr>
    <w:rPr>
      <w:rFonts w:ascii="Calibri" w:hAnsi="Calibri"/>
      <w:sz w:val="24"/>
      <w:szCs w:val="22"/>
    </w:rPr>
  </w:style>
  <w:style w:type="paragraph" w:customStyle="1" w:styleId="639">
    <w:name w:val="Table Paragraph"/>
    <w:basedOn w:val="1"/>
    <w:qFormat/>
    <w:uiPriority w:val="1"/>
    <w:rPr>
      <w:rFonts w:ascii="宋体" w:hAnsi="宋体" w:cs="宋体"/>
      <w:lang w:val="zh-CN" w:bidi="zh-CN"/>
    </w:rPr>
  </w:style>
  <w:style w:type="paragraph" w:customStyle="1" w:styleId="640">
    <w:name w:val="Other|1"/>
    <w:link w:val="641"/>
    <w:qFormat/>
    <w:uiPriority w:val="0"/>
    <w:rPr>
      <w:rFonts w:ascii="MingLiU" w:hAnsi="MingLiU" w:eastAsia="MingLiU" w:cs="MingLiU"/>
      <w:sz w:val="22"/>
      <w:szCs w:val="22"/>
      <w:lang w:val="ko-KR" w:eastAsia="ko-KR" w:bidi="ko-KR"/>
    </w:rPr>
  </w:style>
  <w:style w:type="character" w:customStyle="1" w:styleId="641">
    <w:name w:val="Other|1_"/>
    <w:basedOn w:val="63"/>
    <w:link w:val="640"/>
    <w:qFormat/>
    <w:uiPriority w:val="0"/>
    <w:rPr>
      <w:rFonts w:ascii="MingLiU" w:hAnsi="MingLiU" w:eastAsia="MingLiU" w:cs="MingLiU"/>
      <w:sz w:val="22"/>
      <w:szCs w:val="22"/>
      <w:lang w:val="ko-KR" w:eastAsia="ko-KR" w:bidi="ko-KR"/>
    </w:rPr>
  </w:style>
  <w:style w:type="character" w:customStyle="1" w:styleId="642">
    <w:name w:val="标题 2 字符"/>
    <w:basedOn w:val="63"/>
    <w:link w:val="3"/>
    <w:qFormat/>
    <w:uiPriority w:val="0"/>
    <w:rPr>
      <w:rFonts w:ascii="仿宋_GB2312" w:hAnsi="仿宋" w:eastAsia="仿宋_GB2312"/>
      <w:b/>
      <w:bCs/>
      <w:sz w:val="32"/>
      <w:szCs w:val="32"/>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46</Pages>
  <Words>7667</Words>
  <Characters>8378</Characters>
  <Lines>148</Lines>
  <Paragraphs>41</Paragraphs>
  <TotalTime>8</TotalTime>
  <ScaleCrop>false</ScaleCrop>
  <LinksUpToDate>false</LinksUpToDate>
  <CharactersWithSpaces>8505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2023-12-04T22:56:00Z</dcterms:created>
  <dc:creator>玥</dc:creator>
  <cp:lastModifiedBy>郭富城</cp:lastModifiedBy>
  <cp:lastPrinted>2026-05-21T22:04:00Z</cp:lastPrinted>
  <dcterms:modified xsi:type="dcterms:W3CDTF">2026-07-13T01:50:34Z</dcterms:modified>
  <dc:title>杭州市市民卡扩大发卡工程</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5AEEB36F773D4517AE4A0F1C333A53CD_13</vt:lpwstr>
  </property>
  <property fmtid="{D5CDD505-2E9C-101B-9397-08002B2CF9AE}" pid="4" name="KSOTemplateDocerSaveRecord">
    <vt:lpwstr>eyJoZGlkIjoiY2U2MmVmMTlhOTNhYmZhZDlkZmM0MDE4NGMxMzgxYzciLCJ1c2VySWQiOiI2MjAwNTI5NjcifQ==</vt:lpwstr>
  </property>
</Properties>
</file>