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DB6502">
      <w:pPr>
        <w:jc w:val="center"/>
        <w:rPr>
          <w:rFonts w:hint="eastAsia" w:ascii="宋体" w:hAnsi="宋体" w:eastAsia="宋体" w:cs="宋体"/>
          <w:b/>
          <w:bCs/>
          <w:color w:val="auto"/>
          <w:kern w:val="2"/>
          <w:sz w:val="24"/>
          <w:szCs w:val="24"/>
          <w:highlight w:val="none"/>
          <w:lang w:val="zh-CN" w:eastAsia="zh-CN" w:bidi="ar-SA"/>
        </w:rPr>
      </w:pPr>
      <w:r>
        <w:rPr>
          <w:rFonts w:hint="eastAsia" w:ascii="宋体" w:hAnsi="宋体" w:eastAsia="宋体" w:cs="宋体"/>
          <w:b/>
          <w:bCs/>
          <w:color w:val="auto"/>
          <w:kern w:val="2"/>
          <w:sz w:val="24"/>
          <w:szCs w:val="24"/>
          <w:highlight w:val="none"/>
          <w:lang w:val="zh-CN" w:eastAsia="zh-CN" w:bidi="ar-SA"/>
        </w:rPr>
        <w:t>采购需求</w:t>
      </w:r>
    </w:p>
    <w:p w14:paraId="31D9F84C">
      <w:pPr>
        <w:pStyle w:val="3"/>
        <w:widowControl/>
        <w:wordWrap/>
        <w:adjustRightInd/>
        <w:snapToGrid/>
        <w:spacing w:before="0" w:beforeAutospacing="0" w:after="0" w:afterAutospacing="0" w:line="480" w:lineRule="auto"/>
        <w:ind w:right="0" w:firstLine="482" w:firstLineChars="200"/>
        <w:textAlignment w:val="auto"/>
        <w:outlineLvl w:val="1"/>
        <w:rPr>
          <w:rFonts w:hint="eastAsia" w:ascii="宋体" w:hAnsi="宋体" w:eastAsia="宋体" w:cs="宋体"/>
          <w:b/>
          <w:sz w:val="24"/>
          <w:szCs w:val="24"/>
          <w:lang w:val="zh-CN"/>
        </w:rPr>
      </w:pPr>
      <w:bookmarkStart w:id="0" w:name="_Toc15925"/>
      <w:bookmarkStart w:id="1" w:name="_Toc17379"/>
      <w:bookmarkStart w:id="2" w:name="_Toc8962"/>
      <w:bookmarkStart w:id="3" w:name="_Toc12657"/>
      <w:bookmarkStart w:id="4" w:name="_Toc13858"/>
      <w:bookmarkStart w:id="5" w:name="_Toc1600"/>
      <w:bookmarkStart w:id="6" w:name="_Toc26722"/>
      <w:bookmarkStart w:id="7" w:name="_Toc20818"/>
      <w:bookmarkStart w:id="8" w:name="_Toc21936"/>
      <w:bookmarkStart w:id="9" w:name="_Toc23723"/>
      <w:bookmarkStart w:id="10" w:name="_Toc16179"/>
      <w:bookmarkStart w:id="11" w:name="_Toc8064"/>
      <w:r>
        <w:rPr>
          <w:rFonts w:hint="eastAsia" w:ascii="宋体" w:hAnsi="宋体" w:eastAsia="宋体" w:cs="宋体"/>
          <w:b/>
          <w:sz w:val="24"/>
          <w:szCs w:val="24"/>
          <w:lang w:val="en-US" w:eastAsia="zh-CN"/>
        </w:rPr>
        <w:t>一、</w:t>
      </w:r>
      <w:r>
        <w:rPr>
          <w:rFonts w:hint="eastAsia" w:ascii="宋体" w:hAnsi="宋体" w:eastAsia="宋体" w:cs="宋体"/>
          <w:b/>
          <w:sz w:val="24"/>
          <w:szCs w:val="24"/>
          <w:lang w:val="zh-CN"/>
        </w:rPr>
        <w:t>申请人的资格要求</w:t>
      </w:r>
      <w:bookmarkEnd w:id="0"/>
      <w:bookmarkEnd w:id="1"/>
      <w:bookmarkEnd w:id="2"/>
      <w:bookmarkEnd w:id="3"/>
      <w:bookmarkEnd w:id="4"/>
      <w:bookmarkEnd w:id="5"/>
      <w:bookmarkEnd w:id="6"/>
      <w:bookmarkEnd w:id="7"/>
      <w:bookmarkEnd w:id="8"/>
      <w:bookmarkEnd w:id="9"/>
      <w:bookmarkEnd w:id="10"/>
      <w:bookmarkEnd w:id="11"/>
    </w:p>
    <w:p w14:paraId="5BFA9CB7">
      <w:pPr>
        <w:pStyle w:val="3"/>
        <w:widowControl/>
        <w:wordWrap/>
        <w:adjustRightInd/>
        <w:snapToGrid/>
        <w:spacing w:before="0" w:beforeAutospacing="0" w:after="0" w:afterAutospacing="0" w:line="480" w:lineRule="auto"/>
        <w:ind w:left="0" w:leftChars="0" w:right="0" w:firstLine="480" w:firstLineChars="200"/>
        <w:jc w:val="both"/>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1、满足《中华人民共和国政府采购法》第二十二条规定，即：</w:t>
      </w:r>
    </w:p>
    <w:p w14:paraId="094966EE">
      <w:pPr>
        <w:pStyle w:val="3"/>
        <w:widowControl/>
        <w:wordWrap/>
        <w:adjustRightInd/>
        <w:snapToGrid/>
        <w:spacing w:before="0" w:beforeAutospacing="0" w:after="0" w:afterAutospacing="0" w:line="480" w:lineRule="auto"/>
        <w:ind w:left="0" w:leftChars="0" w:right="0" w:firstLine="480" w:firstLineChars="200"/>
        <w:jc w:val="both"/>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（1）具有独立承担民事责任的能力；</w:t>
      </w:r>
    </w:p>
    <w:p w14:paraId="7DD2323D">
      <w:pPr>
        <w:pStyle w:val="3"/>
        <w:widowControl/>
        <w:wordWrap/>
        <w:adjustRightInd/>
        <w:snapToGrid/>
        <w:spacing w:before="0" w:beforeAutospacing="0" w:after="0" w:afterAutospacing="0" w:line="480" w:lineRule="auto"/>
        <w:ind w:left="0" w:leftChars="0" w:right="0" w:firstLine="480" w:firstLineChars="200"/>
        <w:jc w:val="both"/>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（2）具有良好的商业信誉和健全的财务会计制度；</w:t>
      </w:r>
    </w:p>
    <w:p w14:paraId="25AA82EC">
      <w:pPr>
        <w:pStyle w:val="3"/>
        <w:widowControl/>
        <w:wordWrap/>
        <w:adjustRightInd/>
        <w:snapToGrid/>
        <w:spacing w:before="0" w:beforeAutospacing="0" w:after="0" w:afterAutospacing="0" w:line="480" w:lineRule="auto"/>
        <w:ind w:left="0" w:leftChars="0" w:right="0" w:firstLine="480" w:firstLineChars="200"/>
        <w:jc w:val="both"/>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（3）具有履行合同所必需的设备和专业技术能力；</w:t>
      </w:r>
    </w:p>
    <w:p w14:paraId="3FD19BB2">
      <w:pPr>
        <w:pStyle w:val="3"/>
        <w:widowControl/>
        <w:wordWrap/>
        <w:adjustRightInd/>
        <w:snapToGrid/>
        <w:spacing w:before="0" w:beforeAutospacing="0" w:after="0" w:afterAutospacing="0" w:line="480" w:lineRule="auto"/>
        <w:ind w:left="0" w:leftChars="0" w:right="0" w:firstLine="480" w:firstLineChars="200"/>
        <w:jc w:val="both"/>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（4）有依法缴纳税收和社会保障资金的良好记录；</w:t>
      </w:r>
    </w:p>
    <w:p w14:paraId="20031079">
      <w:pPr>
        <w:pStyle w:val="3"/>
        <w:widowControl/>
        <w:wordWrap/>
        <w:adjustRightInd/>
        <w:snapToGrid/>
        <w:spacing w:before="0" w:beforeAutospacing="0" w:after="0" w:afterAutospacing="0" w:line="480" w:lineRule="auto"/>
        <w:ind w:left="0" w:leftChars="0" w:right="0" w:firstLine="480" w:firstLineChars="200"/>
        <w:jc w:val="both"/>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（5）参加政府采购活动前三年内，在经营活动中没有重大违法记录；</w:t>
      </w:r>
    </w:p>
    <w:p w14:paraId="5D2B368A">
      <w:pPr>
        <w:pStyle w:val="3"/>
        <w:widowControl/>
        <w:wordWrap/>
        <w:adjustRightInd/>
        <w:snapToGrid/>
        <w:spacing w:before="0" w:beforeAutospacing="0" w:after="0" w:afterAutospacing="0" w:line="480" w:lineRule="auto"/>
        <w:ind w:left="0" w:leftChars="0" w:right="0" w:firstLine="480" w:firstLineChars="200"/>
        <w:jc w:val="both"/>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（6）法律、行政法规规定的其他条件。</w:t>
      </w:r>
    </w:p>
    <w:p w14:paraId="451255D6">
      <w:pPr>
        <w:pStyle w:val="3"/>
        <w:widowControl/>
        <w:wordWrap/>
        <w:adjustRightInd/>
        <w:snapToGrid/>
        <w:spacing w:before="0" w:beforeAutospacing="0" w:after="0" w:afterAutospacing="0" w:line="480" w:lineRule="auto"/>
        <w:ind w:left="0" w:leftChars="0" w:right="0" w:firstLine="480" w:firstLineChars="200"/>
        <w:jc w:val="both"/>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2、单位负责人为同一人或者存在直接控股、管理关系的不同投标人，不得参加本项目同一合同项下的政府采购活动。</w:t>
      </w:r>
    </w:p>
    <w:p w14:paraId="509BC332">
      <w:pPr>
        <w:pStyle w:val="3"/>
        <w:widowControl/>
        <w:wordWrap/>
        <w:adjustRightInd/>
        <w:snapToGrid/>
        <w:spacing w:before="0" w:beforeAutospacing="0" w:after="0" w:afterAutospacing="0" w:line="480" w:lineRule="auto"/>
        <w:ind w:left="0" w:leftChars="0" w:right="0" w:firstLine="480" w:firstLineChars="200"/>
        <w:jc w:val="both"/>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3、为本采购项目提供整体设计、规范编制或者项目管理、监理、检测等服务的，不得再参加本项目的其他招标采购活动。</w:t>
      </w:r>
    </w:p>
    <w:p w14:paraId="66E208BD">
      <w:pPr>
        <w:pStyle w:val="3"/>
        <w:widowControl/>
        <w:wordWrap/>
        <w:adjustRightInd/>
        <w:snapToGrid/>
        <w:spacing w:before="0" w:beforeAutospacing="0" w:after="0" w:afterAutospacing="0" w:line="480" w:lineRule="auto"/>
        <w:ind w:left="0" w:leftChars="0" w:right="0" w:firstLine="480" w:firstLineChars="200"/>
        <w:jc w:val="both"/>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4、未被列入失信被执行人、重大税收违法失信主体，未被列入政府采购严重违法失信行为记录名单。</w:t>
      </w:r>
    </w:p>
    <w:p w14:paraId="602D03B6">
      <w:pPr>
        <w:pStyle w:val="3"/>
        <w:widowControl/>
        <w:wordWrap/>
        <w:adjustRightInd/>
        <w:snapToGrid/>
        <w:spacing w:before="0" w:beforeAutospacing="0" w:after="0" w:afterAutospacing="0" w:line="480" w:lineRule="auto"/>
        <w:ind w:left="0" w:leftChars="0" w:right="0" w:firstLine="480" w:firstLineChars="200"/>
        <w:jc w:val="both"/>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5、落实政府采购政策需满足的资格要求：</w:t>
      </w:r>
      <w:r>
        <w:rPr>
          <w:rFonts w:hint="eastAsia" w:ascii="宋体" w:hAnsi="宋体" w:eastAsia="宋体" w:cs="宋体"/>
          <w:b/>
          <w:bCs w:val="0"/>
          <w:sz w:val="24"/>
          <w:szCs w:val="24"/>
          <w:lang w:val="en-US" w:eastAsia="zh-CN"/>
        </w:rPr>
        <w:t>本项目为专门面向中小微企业采购项目</w:t>
      </w:r>
      <w:r>
        <w:rPr>
          <w:rFonts w:hint="eastAsia" w:ascii="宋体" w:hAnsi="宋体" w:eastAsia="宋体" w:cs="宋体"/>
          <w:bCs/>
          <w:sz w:val="24"/>
          <w:szCs w:val="24"/>
          <w:lang w:val="en-US" w:eastAsia="zh-CN"/>
        </w:rPr>
        <w:t>，供应商必须提供《中小企业声明函》（详见（财库【2020】46号）关于《政府采购促进中小企业发展管理办法》），否则其响应将被拒绝。根据工业和信息化部国家统计局国家发展和改革委员会财政部《中小企业划型标准规定》（工信部联企业〔2011〕300号）的规定，本项目采购标的对应的中小企业划分标准所属行业为“</w:t>
      </w:r>
      <w:r>
        <w:rPr>
          <w:rFonts w:hint="eastAsia" w:ascii="宋体" w:hAnsi="宋体" w:eastAsia="宋体" w:cs="宋体"/>
          <w:b/>
          <w:bCs w:val="0"/>
          <w:sz w:val="24"/>
          <w:szCs w:val="24"/>
          <w:lang w:val="en-US" w:eastAsia="zh-CN"/>
        </w:rPr>
        <w:t>其他未列明行业</w:t>
      </w:r>
      <w:r>
        <w:rPr>
          <w:rFonts w:hint="eastAsia" w:ascii="宋体" w:hAnsi="宋体" w:eastAsia="宋体" w:cs="宋体"/>
          <w:bCs/>
          <w:sz w:val="24"/>
          <w:szCs w:val="24"/>
          <w:lang w:val="en-US" w:eastAsia="zh-CN"/>
        </w:rPr>
        <w:t>”。残疾人福利性单位、监狱企业视同小型、微型企业。</w:t>
      </w:r>
    </w:p>
    <w:p w14:paraId="0DDE4599">
      <w:pPr>
        <w:pStyle w:val="3"/>
        <w:widowControl/>
        <w:wordWrap/>
        <w:adjustRightInd/>
        <w:snapToGrid/>
        <w:spacing w:before="0" w:beforeAutospacing="0" w:after="0" w:afterAutospacing="0" w:line="480" w:lineRule="auto"/>
        <w:ind w:left="0" w:leftChars="0" w:right="0" w:firstLine="480" w:firstLineChars="200"/>
        <w:jc w:val="both"/>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6、本项目的特定资格要求：</w:t>
      </w:r>
    </w:p>
    <w:p w14:paraId="2013ABEB">
      <w:pPr>
        <w:pageBreakBefore w:val="0"/>
        <w:kinsoku/>
        <w:overflowPunct/>
        <w:bidi w:val="0"/>
        <w:spacing w:line="480" w:lineRule="auto"/>
        <w:ind w:firstLine="480" w:firstLineChars="200"/>
        <w:outlineLvl w:val="9"/>
        <w:rPr>
          <w:rFonts w:hint="eastAsia" w:ascii="宋体" w:hAnsi="宋体" w:eastAsia="宋体" w:cs="宋体"/>
          <w:b w:val="0"/>
          <w:bCs/>
          <w:color w:val="0000FF"/>
          <w:sz w:val="24"/>
          <w:szCs w:val="24"/>
          <w:lang w:val="en-US" w:eastAsia="zh-CN"/>
        </w:rPr>
      </w:pPr>
      <w:r>
        <w:rPr>
          <w:rFonts w:hint="eastAsia" w:ascii="宋体" w:hAnsi="宋体" w:eastAsia="宋体" w:cs="宋体"/>
          <w:b w:val="0"/>
          <w:bCs/>
          <w:color w:val="0000FF"/>
          <w:sz w:val="24"/>
          <w:szCs w:val="24"/>
          <w:lang w:val="en-US" w:eastAsia="zh-CN"/>
        </w:rPr>
        <w:t>（1）供应商须具备市政公用工程施工总承包乙级（原三级）及以上资质。</w:t>
      </w:r>
    </w:p>
    <w:p w14:paraId="701074C6">
      <w:pPr>
        <w:pageBreakBefore w:val="0"/>
        <w:kinsoku/>
        <w:overflowPunct/>
        <w:bidi w:val="0"/>
        <w:spacing w:line="480" w:lineRule="auto"/>
        <w:ind w:firstLine="480" w:firstLineChars="200"/>
        <w:outlineLvl w:val="9"/>
        <w:rPr>
          <w:rFonts w:hint="eastAsia" w:ascii="宋体" w:hAnsi="宋体" w:eastAsia="宋体" w:cs="宋体"/>
          <w:bCs/>
          <w:color w:val="0000FF"/>
          <w:sz w:val="24"/>
          <w:szCs w:val="24"/>
          <w:lang w:val="en-US" w:eastAsia="zh-CN"/>
        </w:rPr>
      </w:pPr>
      <w:r>
        <w:rPr>
          <w:rFonts w:hint="eastAsia" w:ascii="宋体" w:hAnsi="宋体" w:eastAsia="宋体" w:cs="宋体"/>
          <w:bCs/>
          <w:color w:val="0000FF"/>
          <w:sz w:val="24"/>
          <w:szCs w:val="24"/>
          <w:lang w:val="en-US" w:eastAsia="zh-CN"/>
        </w:rPr>
        <w:t>（2）</w:t>
      </w:r>
      <w:r>
        <w:rPr>
          <w:rFonts w:hint="eastAsia" w:ascii="宋体" w:hAnsi="宋体" w:eastAsia="宋体" w:cs="宋体"/>
          <w:b w:val="0"/>
          <w:bCs/>
          <w:color w:val="0000FF"/>
          <w:sz w:val="24"/>
          <w:szCs w:val="24"/>
          <w:lang w:val="en-US" w:eastAsia="zh-CN"/>
        </w:rPr>
        <w:t>供应商</w:t>
      </w:r>
      <w:r>
        <w:rPr>
          <w:rFonts w:hint="eastAsia" w:ascii="宋体" w:hAnsi="宋体" w:eastAsia="宋体" w:cs="宋体"/>
          <w:bCs/>
          <w:color w:val="0000FF"/>
          <w:sz w:val="24"/>
          <w:szCs w:val="24"/>
          <w:lang w:val="en-US" w:eastAsia="zh-CN"/>
        </w:rPr>
        <w:t>具备有效的安全生产许可证。</w:t>
      </w:r>
    </w:p>
    <w:p w14:paraId="340BBE9B">
      <w:pPr>
        <w:spacing w:line="480" w:lineRule="auto"/>
        <w:ind w:firstLine="480" w:firstLineChars="200"/>
        <w:outlineLvl w:val="9"/>
        <w:rPr>
          <w:rFonts w:hint="eastAsia" w:ascii="宋体" w:hAnsi="宋体" w:eastAsia="宋体" w:cs="宋体"/>
          <w:sz w:val="24"/>
          <w:szCs w:val="24"/>
          <w:highlight w:val="none"/>
        </w:rPr>
      </w:pPr>
      <w:r>
        <w:rPr>
          <w:rFonts w:hint="eastAsia" w:ascii="宋体" w:hAnsi="宋体" w:eastAsia="宋体" w:cs="宋体"/>
          <w:bCs/>
          <w:sz w:val="24"/>
          <w:szCs w:val="24"/>
          <w:lang w:val="en-US" w:eastAsia="zh-CN"/>
        </w:rPr>
        <w:t>（3）供应商需保证在本项目提供的资料均真实有效，若弄虚作假将自行承担一切法律责任，提供书面声明。</w:t>
      </w:r>
    </w:p>
    <w:p w14:paraId="1BD94BCF">
      <w:pPr>
        <w:jc w:val="center"/>
        <w:rPr>
          <w:rFonts w:hint="eastAsia" w:ascii="宋体" w:hAnsi="宋体" w:eastAsia="宋体" w:cs="宋体"/>
          <w:b/>
          <w:bCs/>
          <w:color w:val="auto"/>
          <w:kern w:val="2"/>
          <w:sz w:val="24"/>
          <w:szCs w:val="24"/>
          <w:highlight w:val="none"/>
          <w:lang w:val="zh-CN" w:eastAsia="zh-CN" w:bidi="ar-SA"/>
        </w:rPr>
      </w:pPr>
    </w:p>
    <w:p w14:paraId="6F814C1F">
      <w:pPr>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br w:type="page"/>
      </w:r>
    </w:p>
    <w:p w14:paraId="292C5A8A">
      <w:pPr>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ind w:leftChars="0"/>
        <w:jc w:val="center"/>
        <w:textAlignment w:val="auto"/>
        <w:outlineLvl w:val="0"/>
        <w:rPr>
          <w:rFonts w:hint="eastAsia" w:ascii="宋体" w:hAnsi="宋体" w:eastAsia="宋体" w:cs="宋体"/>
          <w:b/>
          <w:bCs/>
          <w:color w:val="auto"/>
          <w:kern w:val="2"/>
          <w:sz w:val="24"/>
          <w:szCs w:val="24"/>
          <w:highlight w:val="none"/>
          <w:lang w:val="zh-CN" w:eastAsia="zh-CN" w:bidi="ar-SA"/>
        </w:rPr>
      </w:pPr>
      <w:r>
        <w:rPr>
          <w:rFonts w:hint="eastAsia" w:ascii="宋体" w:hAnsi="宋体" w:eastAsia="宋体" w:cs="宋体"/>
          <w:b/>
          <w:bCs/>
          <w:color w:val="auto"/>
          <w:kern w:val="2"/>
          <w:sz w:val="24"/>
          <w:szCs w:val="24"/>
          <w:highlight w:val="none"/>
          <w:lang w:val="en-US" w:eastAsia="zh-CN" w:bidi="ar-SA"/>
        </w:rPr>
        <w:t>二、</w:t>
      </w:r>
      <w:r>
        <w:rPr>
          <w:rFonts w:hint="eastAsia" w:ascii="宋体" w:hAnsi="宋体" w:eastAsia="宋体" w:cs="宋体"/>
          <w:b/>
          <w:bCs/>
          <w:color w:val="auto"/>
          <w:kern w:val="2"/>
          <w:sz w:val="24"/>
          <w:szCs w:val="24"/>
          <w:highlight w:val="none"/>
          <w:lang w:val="zh-CN" w:eastAsia="zh-CN" w:bidi="ar-SA"/>
        </w:rPr>
        <w:t>采购需求</w:t>
      </w:r>
    </w:p>
    <w:p w14:paraId="6567D093">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outlineLvl w:val="9"/>
        <w:rPr>
          <w:rFonts w:hint="eastAsia" w:ascii="宋体" w:hAnsi="宋体" w:eastAsia="宋体" w:cs="宋体"/>
          <w:b w:val="0"/>
          <w:bCs w:val="0"/>
          <w:color w:val="auto"/>
          <w:kern w:val="2"/>
          <w:sz w:val="24"/>
          <w:szCs w:val="24"/>
          <w:highlight w:val="none"/>
          <w:lang w:val="zh-CN" w:eastAsia="zh-CN" w:bidi="ar-SA"/>
        </w:rPr>
      </w:pPr>
      <w:r>
        <w:rPr>
          <w:rFonts w:hint="eastAsia" w:ascii="宋体" w:hAnsi="宋体" w:eastAsia="宋体" w:cs="宋体"/>
          <w:b/>
          <w:bCs/>
          <w:color w:val="auto"/>
          <w:kern w:val="2"/>
          <w:sz w:val="24"/>
          <w:szCs w:val="24"/>
          <w:highlight w:val="none"/>
          <w:lang w:val="zh-CN" w:eastAsia="zh-CN" w:bidi="ar-SA"/>
        </w:rPr>
        <w:t>特别说明：本文中标注“★”项条款为实质性要求，供应商需按文件要求提供相应的证明材料或承诺函，否则视为无效响应。</w:t>
      </w:r>
    </w:p>
    <w:p w14:paraId="6597C059">
      <w:pPr>
        <w:keepNext w:val="0"/>
        <w:keepLines w:val="0"/>
        <w:pageBreakBefore w:val="0"/>
        <w:widowControl w:val="0"/>
        <w:numPr>
          <w:ilvl w:val="0"/>
          <w:numId w:val="0"/>
        </w:numPr>
        <w:kinsoku/>
        <w:wordWrap/>
        <w:overflowPunct/>
        <w:topLinePunct w:val="0"/>
        <w:autoSpaceDE/>
        <w:autoSpaceDN/>
        <w:bidi w:val="0"/>
        <w:adjustRightInd/>
        <w:snapToGrid/>
        <w:ind w:leftChars="0" w:firstLine="482" w:firstLineChars="200"/>
        <w:textAlignment w:val="auto"/>
        <w:outlineLvl w:val="1"/>
        <w:rPr>
          <w:rFonts w:hint="eastAsia" w:ascii="宋体" w:hAnsi="宋体" w:eastAsia="宋体" w:cs="宋体"/>
          <w:b/>
          <w:bCs/>
          <w:color w:val="auto"/>
          <w:sz w:val="24"/>
          <w:szCs w:val="24"/>
          <w:highlight w:val="none"/>
        </w:rPr>
      </w:pPr>
      <w:bookmarkStart w:id="12" w:name="_Toc28445"/>
      <w:bookmarkStart w:id="13" w:name="_Toc7837"/>
      <w:bookmarkStart w:id="14" w:name="_Toc5948"/>
      <w:bookmarkStart w:id="15" w:name="_Toc27869"/>
      <w:bookmarkStart w:id="16" w:name="_Toc6360"/>
      <w:bookmarkStart w:id="17" w:name="_Toc13559"/>
      <w:bookmarkStart w:id="18" w:name="_Toc1253"/>
      <w:bookmarkStart w:id="19" w:name="_Toc27406"/>
      <w:bookmarkStart w:id="20" w:name="_Toc23168"/>
      <w:bookmarkStart w:id="21" w:name="_Toc11096"/>
      <w:bookmarkStart w:id="22" w:name="_Toc27724"/>
      <w:bookmarkStart w:id="23" w:name="_Toc156490321"/>
      <w:bookmarkStart w:id="24" w:name="_Toc20930"/>
      <w:bookmarkStart w:id="25" w:name="_Toc152"/>
      <w:bookmarkStart w:id="26" w:name="_Toc8424"/>
      <w:bookmarkStart w:id="27" w:name="_Toc7878"/>
      <w:bookmarkStart w:id="28" w:name="_Toc21980"/>
      <w:bookmarkStart w:id="29" w:name="_Toc2540"/>
      <w:bookmarkStart w:id="30" w:name="_Toc21146"/>
      <w:bookmarkStart w:id="31" w:name="_Toc11315"/>
      <w:bookmarkStart w:id="32" w:name="_Toc22648"/>
      <w:r>
        <w:rPr>
          <w:rFonts w:hint="eastAsia" w:ascii="宋体" w:hAnsi="宋体" w:eastAsia="宋体" w:cs="宋体"/>
          <w:b/>
          <w:bCs/>
          <w:color w:val="auto"/>
          <w:sz w:val="24"/>
          <w:szCs w:val="24"/>
          <w:highlight w:val="none"/>
          <w:lang w:eastAsia="zh-CN"/>
        </w:rPr>
        <w:t>一、</w:t>
      </w:r>
      <w:r>
        <w:rPr>
          <w:rFonts w:hint="eastAsia" w:ascii="宋体" w:hAnsi="宋体" w:eastAsia="宋体" w:cs="宋体"/>
          <w:b/>
          <w:bCs/>
          <w:color w:val="auto"/>
          <w:sz w:val="24"/>
          <w:szCs w:val="24"/>
          <w:highlight w:val="none"/>
        </w:rPr>
        <w:t>采购清单</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tbl>
      <w:tblPr>
        <w:tblStyle w:val="4"/>
        <w:tblW w:w="50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3"/>
        <w:gridCol w:w="3581"/>
        <w:gridCol w:w="764"/>
        <w:gridCol w:w="719"/>
        <w:gridCol w:w="1365"/>
        <w:gridCol w:w="1487"/>
      </w:tblGrid>
      <w:tr w14:paraId="63C44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7" w:type="pct"/>
            <w:noWrap w:val="0"/>
            <w:vAlign w:val="center"/>
          </w:tcPr>
          <w:p w14:paraId="6313973E">
            <w:pPr>
              <w:pStyle w:val="7"/>
              <w:keepNext w:val="0"/>
              <w:keepLines w:val="0"/>
              <w:pageBreakBefore w:val="0"/>
              <w:widowControl w:val="0"/>
              <w:kinsoku/>
              <w:overflowPunct/>
              <w:bidi w:val="0"/>
              <w:spacing w:line="360" w:lineRule="auto"/>
              <w:jc w:val="center"/>
              <w:outlineLvl w:val="9"/>
              <w:rPr>
                <w:rFonts w:hint="eastAsia" w:ascii="宋体" w:hAnsi="宋体" w:eastAsia="宋体" w:cs="宋体"/>
                <w:b/>
                <w:bCs/>
                <w:color w:val="auto"/>
                <w:sz w:val="24"/>
                <w:szCs w:val="24"/>
                <w:highlight w:val="none"/>
              </w:rPr>
            </w:pPr>
            <w:bookmarkStart w:id="33" w:name="_Toc338065594"/>
            <w:bookmarkStart w:id="34" w:name="_Toc339378680"/>
            <w:r>
              <w:rPr>
                <w:rFonts w:hint="eastAsia" w:ascii="宋体" w:hAnsi="宋体" w:eastAsia="宋体" w:cs="宋体"/>
                <w:b/>
                <w:bCs/>
                <w:color w:val="auto"/>
                <w:sz w:val="24"/>
                <w:szCs w:val="24"/>
                <w:highlight w:val="none"/>
              </w:rPr>
              <w:t>序号</w:t>
            </w:r>
          </w:p>
        </w:tc>
        <w:tc>
          <w:tcPr>
            <w:tcW w:w="2081" w:type="pct"/>
            <w:noWrap w:val="0"/>
            <w:vAlign w:val="center"/>
          </w:tcPr>
          <w:p w14:paraId="5AEDA863">
            <w:pPr>
              <w:pStyle w:val="7"/>
              <w:keepNext w:val="0"/>
              <w:keepLines w:val="0"/>
              <w:pageBreakBefore w:val="0"/>
              <w:widowControl w:val="0"/>
              <w:kinsoku/>
              <w:overflowPunct/>
              <w:bidi w:val="0"/>
              <w:spacing w:line="360" w:lineRule="auto"/>
              <w:jc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采购标的名称</w:t>
            </w:r>
          </w:p>
        </w:tc>
        <w:tc>
          <w:tcPr>
            <w:tcW w:w="444" w:type="pct"/>
            <w:noWrap w:val="0"/>
            <w:vAlign w:val="center"/>
          </w:tcPr>
          <w:p w14:paraId="6094B061">
            <w:pPr>
              <w:pStyle w:val="7"/>
              <w:keepNext w:val="0"/>
              <w:keepLines w:val="0"/>
              <w:pageBreakBefore w:val="0"/>
              <w:widowControl w:val="0"/>
              <w:kinsoku/>
              <w:overflowPunct/>
              <w:bidi w:val="0"/>
              <w:spacing w:line="360" w:lineRule="auto"/>
              <w:jc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数量</w:t>
            </w:r>
          </w:p>
        </w:tc>
        <w:tc>
          <w:tcPr>
            <w:tcW w:w="418" w:type="pct"/>
            <w:noWrap w:val="0"/>
            <w:vAlign w:val="center"/>
          </w:tcPr>
          <w:p w14:paraId="1324A797">
            <w:pPr>
              <w:pStyle w:val="7"/>
              <w:keepNext w:val="0"/>
              <w:keepLines w:val="0"/>
              <w:pageBreakBefore w:val="0"/>
              <w:widowControl w:val="0"/>
              <w:kinsoku/>
              <w:overflowPunct/>
              <w:bidi w:val="0"/>
              <w:spacing w:line="360" w:lineRule="auto"/>
              <w:jc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单位</w:t>
            </w:r>
          </w:p>
        </w:tc>
        <w:tc>
          <w:tcPr>
            <w:tcW w:w="793" w:type="pct"/>
            <w:noWrap w:val="0"/>
            <w:vAlign w:val="center"/>
          </w:tcPr>
          <w:p w14:paraId="1CAF6393">
            <w:pPr>
              <w:pStyle w:val="7"/>
              <w:keepNext w:val="0"/>
              <w:keepLines w:val="0"/>
              <w:pageBreakBefore w:val="0"/>
              <w:widowControl w:val="0"/>
              <w:kinsoku/>
              <w:overflowPunct/>
              <w:bidi w:val="0"/>
              <w:spacing w:line="360" w:lineRule="auto"/>
              <w:jc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所属行业</w:t>
            </w:r>
          </w:p>
        </w:tc>
        <w:tc>
          <w:tcPr>
            <w:tcW w:w="864" w:type="pct"/>
            <w:noWrap w:val="0"/>
            <w:vAlign w:val="center"/>
          </w:tcPr>
          <w:p w14:paraId="66104025">
            <w:pPr>
              <w:pStyle w:val="7"/>
              <w:keepNext w:val="0"/>
              <w:keepLines w:val="0"/>
              <w:pageBreakBefore w:val="0"/>
              <w:widowControl w:val="0"/>
              <w:kinsoku/>
              <w:overflowPunct/>
              <w:bidi w:val="0"/>
              <w:spacing w:line="360" w:lineRule="auto"/>
              <w:jc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要求/备注</w:t>
            </w:r>
          </w:p>
        </w:tc>
      </w:tr>
      <w:tr w14:paraId="02CC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7" w:type="pct"/>
            <w:noWrap w:val="0"/>
            <w:vAlign w:val="center"/>
          </w:tcPr>
          <w:p w14:paraId="4A15DC7F">
            <w:pPr>
              <w:pStyle w:val="7"/>
              <w:keepNext w:val="0"/>
              <w:keepLines w:val="0"/>
              <w:pageBreakBefore w:val="0"/>
              <w:widowControl w:val="0"/>
              <w:kinsoku/>
              <w:overflowPunct/>
              <w:bidi w:val="0"/>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081" w:type="pct"/>
            <w:noWrap w:val="0"/>
            <w:vAlign w:val="center"/>
          </w:tcPr>
          <w:p w14:paraId="0CC08B8C">
            <w:pPr>
              <w:pStyle w:val="7"/>
              <w:keepNext w:val="0"/>
              <w:keepLines w:val="0"/>
              <w:pageBreakBefore w:val="0"/>
              <w:widowControl w:val="0"/>
              <w:kinsoku/>
              <w:overflowPunct/>
              <w:bidi w:val="0"/>
              <w:spacing w:line="360" w:lineRule="auto"/>
              <w:jc w:val="center"/>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司门口天桥维修加固服务项目</w:t>
            </w:r>
          </w:p>
        </w:tc>
        <w:tc>
          <w:tcPr>
            <w:tcW w:w="444" w:type="pct"/>
            <w:noWrap w:val="0"/>
            <w:vAlign w:val="center"/>
          </w:tcPr>
          <w:p w14:paraId="257F1F36">
            <w:pPr>
              <w:pStyle w:val="7"/>
              <w:keepNext w:val="0"/>
              <w:keepLines w:val="0"/>
              <w:pageBreakBefore w:val="0"/>
              <w:widowControl w:val="0"/>
              <w:kinsoku/>
              <w:overflowPunct/>
              <w:bidi w:val="0"/>
              <w:spacing w:line="360" w:lineRule="auto"/>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418" w:type="pct"/>
            <w:noWrap w:val="0"/>
            <w:vAlign w:val="center"/>
          </w:tcPr>
          <w:p w14:paraId="0A916CEA">
            <w:pPr>
              <w:pStyle w:val="7"/>
              <w:keepNext w:val="0"/>
              <w:keepLines w:val="0"/>
              <w:pageBreakBefore w:val="0"/>
              <w:widowControl w:val="0"/>
              <w:kinsoku/>
              <w:overflowPunct/>
              <w:bidi w:val="0"/>
              <w:spacing w:line="360" w:lineRule="auto"/>
              <w:jc w:val="center"/>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w:t>
            </w:r>
          </w:p>
        </w:tc>
        <w:tc>
          <w:tcPr>
            <w:tcW w:w="793" w:type="pct"/>
            <w:noWrap w:val="0"/>
            <w:vAlign w:val="center"/>
          </w:tcPr>
          <w:p w14:paraId="150416DB">
            <w:pPr>
              <w:pStyle w:val="7"/>
              <w:keepNext w:val="0"/>
              <w:keepLines w:val="0"/>
              <w:pageBreakBefore w:val="0"/>
              <w:widowControl w:val="0"/>
              <w:kinsoku/>
              <w:overflowPunct/>
              <w:bidi w:val="0"/>
              <w:spacing w:line="360" w:lineRule="auto"/>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其他未列明行业</w:t>
            </w:r>
          </w:p>
        </w:tc>
        <w:tc>
          <w:tcPr>
            <w:tcW w:w="864" w:type="pct"/>
            <w:noWrap w:val="0"/>
            <w:vAlign w:val="center"/>
          </w:tcPr>
          <w:p w14:paraId="50371534">
            <w:pPr>
              <w:pStyle w:val="7"/>
              <w:keepNext w:val="0"/>
              <w:keepLines w:val="0"/>
              <w:pageBreakBefore w:val="0"/>
              <w:widowControl w:val="0"/>
              <w:kinsoku/>
              <w:overflowPunct/>
              <w:bidi w:val="0"/>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适宜中小企业提供</w:t>
            </w:r>
          </w:p>
        </w:tc>
      </w:tr>
      <w:bookmarkEnd w:id="33"/>
      <w:bookmarkEnd w:id="34"/>
    </w:tbl>
    <w:p w14:paraId="7F878B49">
      <w:pPr>
        <w:keepNext w:val="0"/>
        <w:keepLines w:val="0"/>
        <w:pageBreakBefore w:val="0"/>
        <w:widowControl w:val="0"/>
        <w:kinsoku/>
        <w:overflowPunct/>
        <w:bidi w:val="0"/>
        <w:spacing w:line="480" w:lineRule="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要求/备注说明</w:t>
      </w:r>
    </w:p>
    <w:tbl>
      <w:tblPr>
        <w:tblStyle w:val="4"/>
        <w:tblW w:w="5000" w:type="pct"/>
        <w:jc w:val="center"/>
        <w:tblLayout w:type="autofit"/>
        <w:tblCellMar>
          <w:top w:w="0" w:type="dxa"/>
          <w:left w:w="108" w:type="dxa"/>
          <w:bottom w:w="0" w:type="dxa"/>
          <w:right w:w="108" w:type="dxa"/>
        </w:tblCellMar>
      </w:tblPr>
      <w:tblGrid>
        <w:gridCol w:w="1241"/>
        <w:gridCol w:w="7281"/>
      </w:tblGrid>
      <w:tr w14:paraId="06FCAC39">
        <w:tblPrEx>
          <w:tblCellMar>
            <w:top w:w="0" w:type="dxa"/>
            <w:left w:w="108" w:type="dxa"/>
            <w:bottom w:w="0" w:type="dxa"/>
            <w:right w:w="108" w:type="dxa"/>
          </w:tblCellMar>
        </w:tblPrEx>
        <w:trPr>
          <w:trHeight w:val="702" w:hRule="atLeast"/>
          <w:jc w:val="center"/>
        </w:trPr>
        <w:tc>
          <w:tcPr>
            <w:tcW w:w="728" w:type="pct"/>
            <w:tcBorders>
              <w:top w:val="single" w:color="auto" w:sz="4" w:space="0"/>
              <w:left w:val="single" w:color="auto" w:sz="4" w:space="0"/>
              <w:bottom w:val="single" w:color="auto" w:sz="4" w:space="0"/>
              <w:right w:val="single" w:color="auto" w:sz="4" w:space="0"/>
            </w:tcBorders>
            <w:noWrap w:val="0"/>
            <w:vAlign w:val="center"/>
          </w:tcPr>
          <w:p w14:paraId="06543BA0">
            <w:pPr>
              <w:pStyle w:val="7"/>
              <w:keepNext w:val="0"/>
              <w:keepLines w:val="0"/>
              <w:pageBreakBefore w:val="0"/>
              <w:widowControl w:val="0"/>
              <w:kinsoku/>
              <w:overflowPunct/>
              <w:bidi w:val="0"/>
              <w:spacing w:line="360" w:lineRule="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核心产品</w:t>
            </w:r>
          </w:p>
        </w:tc>
        <w:tc>
          <w:tcPr>
            <w:tcW w:w="4272" w:type="pct"/>
            <w:tcBorders>
              <w:top w:val="single" w:color="auto" w:sz="4" w:space="0"/>
              <w:left w:val="single" w:color="auto" w:sz="4" w:space="0"/>
              <w:bottom w:val="single" w:color="auto" w:sz="4" w:space="0"/>
              <w:right w:val="single" w:color="auto" w:sz="4" w:space="0"/>
            </w:tcBorders>
            <w:noWrap w:val="0"/>
            <w:vAlign w:val="center"/>
          </w:tcPr>
          <w:p w14:paraId="1590C4CA">
            <w:pPr>
              <w:pStyle w:val="7"/>
              <w:keepNext w:val="0"/>
              <w:keepLines w:val="0"/>
              <w:pageBreakBefore w:val="0"/>
              <w:widowControl w:val="0"/>
              <w:kinsoku/>
              <w:overflowPunct/>
              <w:bidi w:val="0"/>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单一产品采购项目，采购人应当根据采购项目技术构成、产品价格比重等合理确定一个核心产品（采购清单中作与核心产品“相同〈或同一〉品牌”要求的产品，视为一个核心产品），并以“核心产品”在采购清单要求/备注栏中标注。</w:t>
            </w:r>
          </w:p>
        </w:tc>
      </w:tr>
      <w:tr w14:paraId="1853D87C">
        <w:tblPrEx>
          <w:tblCellMar>
            <w:top w:w="0" w:type="dxa"/>
            <w:left w:w="108" w:type="dxa"/>
            <w:bottom w:w="0" w:type="dxa"/>
            <w:right w:w="108" w:type="dxa"/>
          </w:tblCellMar>
        </w:tblPrEx>
        <w:trPr>
          <w:trHeight w:val="702" w:hRule="atLeast"/>
          <w:jc w:val="center"/>
        </w:trPr>
        <w:tc>
          <w:tcPr>
            <w:tcW w:w="728" w:type="pct"/>
            <w:tcBorders>
              <w:top w:val="single" w:color="auto" w:sz="4" w:space="0"/>
              <w:left w:val="single" w:color="auto" w:sz="4" w:space="0"/>
              <w:bottom w:val="single" w:color="auto" w:sz="4" w:space="0"/>
              <w:right w:val="single" w:color="auto" w:sz="4" w:space="0"/>
            </w:tcBorders>
            <w:noWrap w:val="0"/>
            <w:vAlign w:val="center"/>
          </w:tcPr>
          <w:p w14:paraId="31CD1197">
            <w:pPr>
              <w:pStyle w:val="7"/>
              <w:keepNext w:val="0"/>
              <w:keepLines w:val="0"/>
              <w:pageBreakBefore w:val="0"/>
              <w:widowControl w:val="0"/>
              <w:kinsoku/>
              <w:overflowPunct/>
              <w:bidi w:val="0"/>
              <w:spacing w:line="360" w:lineRule="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节能产品</w:t>
            </w:r>
          </w:p>
        </w:tc>
        <w:tc>
          <w:tcPr>
            <w:tcW w:w="4272" w:type="pct"/>
            <w:tcBorders>
              <w:top w:val="single" w:color="auto" w:sz="4" w:space="0"/>
              <w:left w:val="single" w:color="auto" w:sz="4" w:space="0"/>
              <w:bottom w:val="single" w:color="auto" w:sz="4" w:space="0"/>
              <w:right w:val="single" w:color="auto" w:sz="4" w:space="0"/>
            </w:tcBorders>
            <w:noWrap w:val="0"/>
            <w:vAlign w:val="center"/>
          </w:tcPr>
          <w:p w14:paraId="31C1E9FD">
            <w:pPr>
              <w:pStyle w:val="7"/>
              <w:keepNext w:val="0"/>
              <w:keepLines w:val="0"/>
              <w:pageBreakBefore w:val="0"/>
              <w:widowControl w:val="0"/>
              <w:kinsoku/>
              <w:overflowPunct/>
              <w:bidi w:val="0"/>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采购清单要求/备注栏中注明“节能产品”的标的，为强制采购节能产品。依据财库〔2019〕9号文的规定，应提供国家确定的认证机构出具的节能产品认证证书。</w:t>
            </w:r>
          </w:p>
        </w:tc>
      </w:tr>
      <w:tr w14:paraId="3B34BD3D">
        <w:tblPrEx>
          <w:tblCellMar>
            <w:top w:w="0" w:type="dxa"/>
            <w:left w:w="108" w:type="dxa"/>
            <w:bottom w:w="0" w:type="dxa"/>
            <w:right w:w="108" w:type="dxa"/>
          </w:tblCellMar>
        </w:tblPrEx>
        <w:trPr>
          <w:trHeight w:val="702" w:hRule="atLeast"/>
          <w:jc w:val="center"/>
        </w:trPr>
        <w:tc>
          <w:tcPr>
            <w:tcW w:w="728" w:type="pct"/>
            <w:tcBorders>
              <w:top w:val="single" w:color="auto" w:sz="4" w:space="0"/>
              <w:left w:val="single" w:color="auto" w:sz="4" w:space="0"/>
              <w:bottom w:val="single" w:color="auto" w:sz="4" w:space="0"/>
              <w:right w:val="single" w:color="auto" w:sz="4" w:space="0"/>
            </w:tcBorders>
            <w:noWrap w:val="0"/>
            <w:vAlign w:val="center"/>
          </w:tcPr>
          <w:p w14:paraId="7A8C1BF5">
            <w:pPr>
              <w:pStyle w:val="7"/>
              <w:keepNext w:val="0"/>
              <w:keepLines w:val="0"/>
              <w:pageBreakBefore w:val="0"/>
              <w:widowControl w:val="0"/>
              <w:kinsoku/>
              <w:overflowPunct/>
              <w:bidi w:val="0"/>
              <w:spacing w:line="360" w:lineRule="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进口产品</w:t>
            </w:r>
          </w:p>
        </w:tc>
        <w:tc>
          <w:tcPr>
            <w:tcW w:w="4272" w:type="pct"/>
            <w:tcBorders>
              <w:top w:val="single" w:color="auto" w:sz="4" w:space="0"/>
              <w:left w:val="single" w:color="auto" w:sz="4" w:space="0"/>
              <w:bottom w:val="single" w:color="auto" w:sz="4" w:space="0"/>
              <w:right w:val="single" w:color="auto" w:sz="4" w:space="0"/>
            </w:tcBorders>
            <w:noWrap w:val="0"/>
            <w:vAlign w:val="center"/>
          </w:tcPr>
          <w:p w14:paraId="35AAE23C">
            <w:pPr>
              <w:pStyle w:val="7"/>
              <w:keepNext w:val="0"/>
              <w:keepLines w:val="0"/>
              <w:pageBreakBefore w:val="0"/>
              <w:widowControl w:val="0"/>
              <w:kinsoku/>
              <w:overflowPunct/>
              <w:bidi w:val="0"/>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采购清单要求/备注栏中注明“进口产品”的标的。可使用</w:t>
            </w:r>
            <w:r>
              <w:rPr>
                <w:rFonts w:hint="eastAsia" w:ascii="宋体" w:hAnsi="宋体" w:eastAsia="宋体" w:cs="宋体"/>
                <w:color w:val="auto"/>
                <w:sz w:val="24"/>
                <w:szCs w:val="24"/>
                <w:highlight w:val="none"/>
                <w:lang w:val="zh-CN"/>
              </w:rPr>
              <w:t>进口产品参加磋商。</w:t>
            </w:r>
          </w:p>
        </w:tc>
      </w:tr>
      <w:tr w14:paraId="59882A4E">
        <w:tblPrEx>
          <w:tblCellMar>
            <w:top w:w="0" w:type="dxa"/>
            <w:left w:w="108" w:type="dxa"/>
            <w:bottom w:w="0" w:type="dxa"/>
            <w:right w:w="108" w:type="dxa"/>
          </w:tblCellMar>
        </w:tblPrEx>
        <w:trPr>
          <w:trHeight w:val="548" w:hRule="atLeast"/>
          <w:jc w:val="center"/>
        </w:trPr>
        <w:tc>
          <w:tcPr>
            <w:tcW w:w="728" w:type="pct"/>
            <w:tcBorders>
              <w:top w:val="single" w:color="auto" w:sz="4" w:space="0"/>
              <w:left w:val="single" w:color="auto" w:sz="4" w:space="0"/>
              <w:bottom w:val="single" w:color="auto" w:sz="4" w:space="0"/>
              <w:right w:val="single" w:color="auto" w:sz="4" w:space="0"/>
            </w:tcBorders>
            <w:noWrap w:val="0"/>
            <w:vAlign w:val="center"/>
          </w:tcPr>
          <w:p w14:paraId="67F352D4">
            <w:pPr>
              <w:pStyle w:val="7"/>
              <w:keepNext w:val="0"/>
              <w:keepLines w:val="0"/>
              <w:pageBreakBefore w:val="0"/>
              <w:widowControl w:val="0"/>
              <w:kinsoku/>
              <w:overflowPunct/>
              <w:bidi w:val="0"/>
              <w:spacing w:line="360" w:lineRule="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适宜中小企业提供</w:t>
            </w:r>
          </w:p>
        </w:tc>
        <w:tc>
          <w:tcPr>
            <w:tcW w:w="4272" w:type="pct"/>
            <w:tcBorders>
              <w:top w:val="single" w:color="auto" w:sz="4" w:space="0"/>
              <w:left w:val="single" w:color="auto" w:sz="4" w:space="0"/>
              <w:bottom w:val="single" w:color="auto" w:sz="4" w:space="0"/>
              <w:right w:val="single" w:color="auto" w:sz="4" w:space="0"/>
            </w:tcBorders>
            <w:noWrap w:val="0"/>
            <w:vAlign w:val="center"/>
          </w:tcPr>
          <w:p w14:paraId="4AC78FF0">
            <w:pPr>
              <w:pStyle w:val="7"/>
              <w:keepNext w:val="0"/>
              <w:keepLines w:val="0"/>
              <w:pageBreakBefore w:val="0"/>
              <w:widowControl w:val="0"/>
              <w:kinsoku/>
              <w:overflowPunct/>
              <w:bidi w:val="0"/>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采购清单要求/备注栏中注明“适宜中小企业提供”的标的，应当按照竞争性磋商文件要求全部或部分由联合体提供或进行合同分包。</w:t>
            </w:r>
          </w:p>
        </w:tc>
      </w:tr>
      <w:tr w14:paraId="2DCA8A5F">
        <w:tblPrEx>
          <w:tblCellMar>
            <w:top w:w="0" w:type="dxa"/>
            <w:left w:w="108" w:type="dxa"/>
            <w:bottom w:w="0" w:type="dxa"/>
            <w:right w:w="108" w:type="dxa"/>
          </w:tblCellMar>
        </w:tblPrEx>
        <w:trPr>
          <w:trHeight w:val="548" w:hRule="atLeast"/>
          <w:jc w:val="center"/>
        </w:trPr>
        <w:tc>
          <w:tcPr>
            <w:tcW w:w="728" w:type="pct"/>
            <w:tcBorders>
              <w:top w:val="single" w:color="auto" w:sz="4" w:space="0"/>
              <w:left w:val="single" w:color="auto" w:sz="4" w:space="0"/>
              <w:bottom w:val="single" w:color="auto" w:sz="4" w:space="0"/>
              <w:right w:val="single" w:color="auto" w:sz="4" w:space="0"/>
            </w:tcBorders>
            <w:noWrap w:val="0"/>
            <w:vAlign w:val="center"/>
          </w:tcPr>
          <w:p w14:paraId="1DB4AD83">
            <w:pPr>
              <w:pStyle w:val="7"/>
              <w:keepNext w:val="0"/>
              <w:keepLines w:val="0"/>
              <w:pageBreakBefore w:val="0"/>
              <w:widowControl w:val="0"/>
              <w:kinsoku/>
              <w:overflowPunct/>
              <w:bidi w:val="0"/>
              <w:spacing w:line="480" w:lineRule="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合同分包</w:t>
            </w:r>
          </w:p>
        </w:tc>
        <w:tc>
          <w:tcPr>
            <w:tcW w:w="4272" w:type="pct"/>
            <w:tcBorders>
              <w:top w:val="single" w:color="auto" w:sz="4" w:space="0"/>
              <w:left w:val="single" w:color="auto" w:sz="4" w:space="0"/>
              <w:bottom w:val="single" w:color="auto" w:sz="4" w:space="0"/>
              <w:right w:val="single" w:color="auto" w:sz="4" w:space="0"/>
            </w:tcBorders>
            <w:noWrap w:val="0"/>
            <w:vAlign w:val="center"/>
          </w:tcPr>
          <w:p w14:paraId="70A0DC48">
            <w:pPr>
              <w:pStyle w:val="7"/>
              <w:keepNext w:val="0"/>
              <w:keepLines w:val="0"/>
              <w:pageBreakBefore w:val="0"/>
              <w:widowControl w:val="0"/>
              <w:kinsoku/>
              <w:overflowPunct/>
              <w:bidi w:val="0"/>
              <w:spacing w:line="48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采购清单要求/备注栏中未注明“允许分包”的标的，不得合同分包。</w:t>
            </w:r>
          </w:p>
        </w:tc>
      </w:tr>
    </w:tbl>
    <w:p w14:paraId="75C6D5F8">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firstLine="482" w:firstLineChars="200"/>
        <w:textAlignment w:val="auto"/>
        <w:outlineLvl w:val="1"/>
        <w:rPr>
          <w:rFonts w:hint="eastAsia" w:ascii="宋体" w:hAnsi="宋体" w:eastAsia="宋体" w:cs="宋体"/>
          <w:b/>
          <w:bCs/>
          <w:color w:val="auto"/>
          <w:sz w:val="24"/>
          <w:szCs w:val="24"/>
          <w:highlight w:val="none"/>
        </w:rPr>
      </w:pPr>
      <w:bookmarkStart w:id="35" w:name="_Toc15271"/>
      <w:bookmarkStart w:id="36" w:name="_Toc21142"/>
      <w:bookmarkStart w:id="37" w:name="_Toc30089"/>
      <w:bookmarkStart w:id="38" w:name="_Toc26620"/>
      <w:bookmarkStart w:id="39" w:name="_Toc12810"/>
      <w:bookmarkStart w:id="40" w:name="_Toc8381"/>
      <w:bookmarkStart w:id="41" w:name="_Toc17329"/>
      <w:bookmarkStart w:id="42" w:name="_Toc2922"/>
      <w:bookmarkStart w:id="43" w:name="_Toc10806"/>
      <w:bookmarkStart w:id="44" w:name="_Toc24700"/>
      <w:bookmarkStart w:id="45" w:name="_Toc3981"/>
      <w:bookmarkStart w:id="46" w:name="_Toc20808"/>
      <w:bookmarkStart w:id="47" w:name="_Toc16856"/>
      <w:bookmarkStart w:id="48" w:name="_Toc22741"/>
      <w:bookmarkStart w:id="49" w:name="_Toc11724"/>
      <w:bookmarkStart w:id="50" w:name="_Toc997"/>
      <w:bookmarkStart w:id="51" w:name="_Toc156490323"/>
      <w:bookmarkStart w:id="52" w:name="_Toc27471"/>
      <w:bookmarkStart w:id="53" w:name="_Toc14353"/>
      <w:bookmarkStart w:id="54" w:name="_Toc4578"/>
      <w:bookmarkStart w:id="55" w:name="_Toc24166"/>
      <w:r>
        <w:rPr>
          <w:rFonts w:hint="eastAsia" w:ascii="宋体" w:hAnsi="宋体" w:eastAsia="宋体" w:cs="宋体"/>
          <w:b/>
          <w:bCs/>
          <w:color w:val="auto"/>
          <w:sz w:val="24"/>
          <w:szCs w:val="24"/>
          <w:highlight w:val="none"/>
          <w:lang w:eastAsia="zh-CN"/>
        </w:rPr>
        <w:t>二、</w:t>
      </w:r>
      <w:r>
        <w:rPr>
          <w:rFonts w:hint="eastAsia" w:ascii="宋体" w:hAnsi="宋体" w:eastAsia="宋体" w:cs="宋体"/>
          <w:b/>
          <w:bCs/>
          <w:color w:val="auto"/>
          <w:sz w:val="24"/>
          <w:szCs w:val="24"/>
          <w:highlight w:val="none"/>
        </w:rPr>
        <w:t>执行的相关标准、规范</w:t>
      </w:r>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06776574">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left"/>
        <w:textAlignment w:val="auto"/>
        <w:outlineLvl w:val="9"/>
        <w:rPr>
          <w:rFonts w:hint="eastAsia" w:ascii="宋体" w:hAnsi="宋体" w:eastAsia="宋体" w:cs="宋体"/>
          <w:b w:val="0"/>
          <w:bCs w:val="0"/>
          <w:color w:val="auto"/>
          <w:sz w:val="24"/>
          <w:szCs w:val="24"/>
          <w:highlight w:val="none"/>
          <w:lang w:val="zh-CN" w:eastAsia="zh-CN"/>
        </w:rPr>
      </w:pPr>
      <w:bookmarkStart w:id="56" w:name="_Toc25810"/>
      <w:bookmarkStart w:id="57" w:name="_Toc5550"/>
      <w:bookmarkStart w:id="58" w:name="_Toc402"/>
      <w:bookmarkStart w:id="59" w:name="_Toc1571"/>
      <w:bookmarkStart w:id="60" w:name="_Toc11666"/>
      <w:bookmarkStart w:id="61" w:name="_Toc7153"/>
      <w:bookmarkStart w:id="62" w:name="_Toc20534"/>
      <w:bookmarkStart w:id="63" w:name="_Toc11713"/>
      <w:bookmarkStart w:id="64" w:name="_Toc12235"/>
      <w:bookmarkStart w:id="65" w:name="_Toc17894"/>
      <w:bookmarkStart w:id="66" w:name="_Toc12605"/>
      <w:bookmarkStart w:id="67" w:name="_Toc25711"/>
      <w:bookmarkStart w:id="68" w:name="_Toc24586"/>
      <w:bookmarkStart w:id="69" w:name="_Toc28616"/>
      <w:bookmarkStart w:id="70" w:name="_Toc6177"/>
      <w:r>
        <w:rPr>
          <w:rFonts w:hint="eastAsia" w:ascii="宋体" w:hAnsi="宋体" w:eastAsia="宋体" w:cs="宋体"/>
          <w:b w:val="0"/>
          <w:bCs w:val="0"/>
          <w:color w:val="auto"/>
          <w:kern w:val="2"/>
          <w:sz w:val="24"/>
          <w:szCs w:val="24"/>
          <w:highlight w:val="none"/>
          <w:lang w:val="zh-CN" w:eastAsia="zh-CN" w:bidi="ar-SA"/>
        </w:rPr>
        <w:t>采购内容需执行的国家相关法律法规、标准、行业标准、地方标准或者其他标准、规范，包括但不限于以下内容：</w:t>
      </w:r>
      <w:r>
        <w:rPr>
          <w:rFonts w:hint="eastAsia" w:ascii="宋体" w:hAnsi="宋体" w:eastAsia="宋体" w:cs="宋体"/>
          <w:color w:val="auto"/>
          <w:spacing w:val="0"/>
          <w:kern w:val="2"/>
          <w:position w:val="0"/>
          <w:sz w:val="24"/>
          <w:szCs w:val="24"/>
          <w:highlight w:val="none"/>
          <w:lang w:val="zh-CN" w:eastAsia="zh-CN" w:bidi="ar-SA"/>
        </w:rPr>
        <w:t>《公路桥梁钢结构防腐涂装技术条件》（JT-T 722-2023）</w:t>
      </w:r>
      <w:r>
        <w:rPr>
          <w:rFonts w:hint="eastAsia" w:ascii="宋体" w:hAnsi="宋体" w:eastAsia="宋体" w:cs="宋体"/>
          <w:b w:val="0"/>
          <w:bCs w:val="0"/>
          <w:color w:val="auto"/>
          <w:sz w:val="24"/>
          <w:szCs w:val="24"/>
          <w:highlight w:val="none"/>
          <w:lang w:val="zh-CN" w:eastAsia="zh-CN"/>
        </w:rPr>
        <w:t xml:space="preserve">、《混凝土桥梁结构表面涂层防腐技术条件》（JT/T695-2007） 、《城市桥梁养护技术标准》（CJJ99-2017）、《公路桥梁加固施工技术规范》（JTG-T 5531-2025）、《公路桥涵养护规范》（JTG 5120-2021）等规范要求。 </w:t>
      </w:r>
    </w:p>
    <w:p w14:paraId="18FCC653">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b/>
          <w:bCs/>
          <w:kern w:val="2"/>
          <w:sz w:val="24"/>
          <w:szCs w:val="24"/>
          <w:lang w:val="zh-CN" w:eastAsia="zh-CN" w:bidi="ar-SA"/>
        </w:rPr>
      </w:pPr>
      <w:r>
        <w:rPr>
          <w:rFonts w:hint="eastAsia" w:ascii="宋体" w:hAnsi="宋体" w:eastAsia="宋体" w:cs="宋体"/>
          <w:b w:val="0"/>
          <w:bCs w:val="0"/>
          <w:color w:val="auto"/>
          <w:kern w:val="2"/>
          <w:sz w:val="24"/>
          <w:szCs w:val="24"/>
          <w:highlight w:val="none"/>
          <w:lang w:val="zh-CN" w:eastAsia="zh-CN" w:bidi="ar-SA"/>
        </w:rPr>
        <w:t>如上述要求高于国家有关部门颁布的最新国家标准、行业标准或地方标准的，按上述要求执行；低于国家有关部门颁布的最新国家标准、行业标准或地方标准的，按有关标准执行。</w:t>
      </w:r>
      <w:r>
        <w:rPr>
          <w:rFonts w:hint="eastAsia" w:ascii="宋体" w:hAnsi="宋体" w:eastAsia="宋体" w:cs="宋体"/>
          <w:b w:val="0"/>
          <w:bCs w:val="0"/>
          <w:color w:val="auto"/>
          <w:kern w:val="2"/>
          <w:sz w:val="24"/>
          <w:szCs w:val="24"/>
          <w:highlight w:val="none"/>
          <w:lang w:val="en-US" w:eastAsia="zh-CN" w:bidi="ar-SA"/>
        </w:rPr>
        <w:t>若有更新的标准开始实行，则以新的标准要求为准。</w:t>
      </w:r>
    </w:p>
    <w:p w14:paraId="286CEFEE">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outlineLvl w:val="1"/>
        <w:rPr>
          <w:rFonts w:hint="eastAsia" w:ascii="宋体" w:hAnsi="宋体" w:eastAsia="宋体" w:cs="宋体"/>
          <w:b/>
          <w:bCs/>
          <w:color w:val="auto"/>
          <w:kern w:val="2"/>
          <w:sz w:val="24"/>
          <w:szCs w:val="24"/>
          <w:highlight w:val="none"/>
          <w:lang w:val="zh-CN" w:eastAsia="zh-CN" w:bidi="ar-SA"/>
        </w:rPr>
      </w:pPr>
      <w:bookmarkStart w:id="71" w:name="_Toc25634"/>
      <w:bookmarkStart w:id="72" w:name="_Toc29717"/>
      <w:bookmarkStart w:id="73" w:name="_Toc12488"/>
      <w:bookmarkStart w:id="74" w:name="_Toc25465"/>
      <w:bookmarkStart w:id="75" w:name="_Toc21276"/>
      <w:bookmarkStart w:id="76" w:name="_Toc10107"/>
      <w:bookmarkStart w:id="77" w:name="_Toc14016"/>
      <w:bookmarkStart w:id="78" w:name="_Toc30720"/>
      <w:r>
        <w:rPr>
          <w:rFonts w:hint="eastAsia" w:ascii="宋体" w:hAnsi="宋体" w:eastAsia="宋体" w:cs="宋体"/>
          <w:b/>
          <w:bCs/>
          <w:color w:val="auto"/>
          <w:kern w:val="2"/>
          <w:sz w:val="24"/>
          <w:szCs w:val="24"/>
          <w:highlight w:val="none"/>
          <w:lang w:val="zh-CN" w:eastAsia="zh-CN" w:bidi="ar-SA"/>
        </w:rPr>
        <w:t>三、技术要求</w:t>
      </w:r>
      <w:bookmarkEnd w:id="56"/>
      <w:bookmarkEnd w:id="57"/>
      <w:bookmarkEnd w:id="58"/>
      <w:bookmarkEnd w:id="59"/>
      <w:bookmarkEnd w:id="60"/>
      <w:bookmarkEnd w:id="61"/>
      <w:bookmarkEnd w:id="62"/>
      <w:bookmarkEnd w:id="63"/>
      <w:bookmarkEnd w:id="64"/>
      <w:bookmarkEnd w:id="65"/>
      <w:bookmarkEnd w:id="66"/>
      <w:bookmarkEnd w:id="71"/>
      <w:bookmarkEnd w:id="72"/>
      <w:bookmarkEnd w:id="73"/>
      <w:bookmarkEnd w:id="74"/>
      <w:bookmarkEnd w:id="75"/>
      <w:bookmarkEnd w:id="76"/>
      <w:bookmarkEnd w:id="77"/>
      <w:bookmarkEnd w:id="78"/>
    </w:p>
    <w:p w14:paraId="30A62769">
      <w:pPr>
        <w:pageBreakBefore w:val="0"/>
        <w:tabs>
          <w:tab w:val="left" w:pos="711"/>
        </w:tabs>
        <w:kinsoku/>
        <w:wordWrap/>
        <w:overflowPunct/>
        <w:topLinePunct w:val="0"/>
        <w:bidi w:val="0"/>
        <w:spacing w:line="480" w:lineRule="auto"/>
        <w:ind w:firstLine="482" w:firstLineChars="200"/>
        <w:jc w:val="left"/>
        <w:outlineLvl w:val="9"/>
        <w:rPr>
          <w:rFonts w:hint="eastAsia" w:ascii="宋体" w:hAnsi="宋体" w:eastAsia="宋体" w:cs="宋体"/>
          <w:b/>
          <w:bCs/>
          <w:color w:val="auto"/>
          <w:sz w:val="24"/>
          <w:szCs w:val="24"/>
        </w:rPr>
      </w:pPr>
      <w:bookmarkStart w:id="79" w:name="_Toc19309"/>
      <w:bookmarkStart w:id="80" w:name="_Toc10840"/>
      <w:bookmarkStart w:id="81" w:name="_Toc20034"/>
      <w:bookmarkStart w:id="82" w:name="_Toc4951"/>
      <w:bookmarkStart w:id="83" w:name="_Toc23173"/>
      <w:bookmarkStart w:id="84" w:name="_Toc3219"/>
      <w:bookmarkStart w:id="85" w:name="_Toc30278"/>
      <w:r>
        <w:rPr>
          <w:rFonts w:hint="eastAsia" w:ascii="宋体" w:hAnsi="宋体" w:eastAsia="宋体" w:cs="宋体"/>
          <w:b/>
          <w:bCs/>
          <w:color w:val="auto"/>
          <w:sz w:val="24"/>
          <w:szCs w:val="24"/>
          <w:lang w:val="en-US" w:eastAsia="zh-CN"/>
        </w:rPr>
        <w:t>（一）</w:t>
      </w:r>
      <w:r>
        <w:rPr>
          <w:rFonts w:hint="eastAsia" w:ascii="宋体" w:hAnsi="宋体" w:eastAsia="宋体" w:cs="宋体"/>
          <w:b/>
          <w:bCs/>
          <w:color w:val="auto"/>
          <w:sz w:val="24"/>
          <w:szCs w:val="24"/>
        </w:rPr>
        <w:t>服务</w:t>
      </w:r>
      <w:r>
        <w:rPr>
          <w:rFonts w:hint="eastAsia" w:ascii="宋体" w:hAnsi="宋体" w:eastAsia="宋体" w:cs="宋体"/>
          <w:b/>
          <w:bCs/>
          <w:color w:val="auto"/>
          <w:sz w:val="24"/>
          <w:szCs w:val="24"/>
          <w:lang w:val="en-US" w:eastAsia="zh-CN"/>
        </w:rPr>
        <w:t>范围</w:t>
      </w:r>
    </w:p>
    <w:p w14:paraId="29FA00C5">
      <w:pPr>
        <w:keepNext w:val="0"/>
        <w:keepLines w:val="0"/>
        <w:pageBreakBefore w:val="0"/>
        <w:widowControl w:val="0"/>
        <w:tabs>
          <w:tab w:val="left" w:pos="711"/>
        </w:tabs>
        <w:kinsoku/>
        <w:wordWrap w:val="0"/>
        <w:overflowPunct/>
        <w:topLinePunct/>
        <w:autoSpaceDE/>
        <w:autoSpaceDN/>
        <w:bidi w:val="0"/>
        <w:adjustRightInd/>
        <w:snapToGrid/>
        <w:spacing w:line="480" w:lineRule="auto"/>
        <w:ind w:firstLine="480" w:firstLineChars="200"/>
        <w:jc w:val="left"/>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本项目维修范围为司门口天桥主桥、主桥梯道、东侧栈桥、东侧栈桥梯道。西侧栈桥及栈桥梯道不在本项目维修范围内。</w:t>
      </w:r>
    </w:p>
    <w:p w14:paraId="4AD416E4">
      <w:pPr>
        <w:keepNext w:val="0"/>
        <w:keepLines w:val="0"/>
        <w:pageBreakBefore w:val="0"/>
        <w:widowControl w:val="0"/>
        <w:tabs>
          <w:tab w:val="left" w:pos="711"/>
        </w:tabs>
        <w:kinsoku/>
        <w:wordWrap w:val="0"/>
        <w:overflowPunct/>
        <w:topLinePunct/>
        <w:autoSpaceDE/>
        <w:autoSpaceDN/>
        <w:bidi w:val="0"/>
        <w:adjustRightInd/>
        <w:snapToGrid/>
        <w:spacing w:line="480" w:lineRule="auto"/>
        <w:ind w:firstLine="482" w:firstLineChars="200"/>
        <w:jc w:val="left"/>
        <w:textAlignment w:val="auto"/>
        <w:outlineLvl w:val="9"/>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（二）服务内容</w:t>
      </w:r>
    </w:p>
    <w:p w14:paraId="19CDBAF0">
      <w:pPr>
        <w:keepNext w:val="0"/>
        <w:keepLines w:val="0"/>
        <w:pageBreakBefore w:val="0"/>
        <w:widowControl w:val="0"/>
        <w:tabs>
          <w:tab w:val="left" w:pos="711"/>
        </w:tabs>
        <w:kinsoku/>
        <w:wordWrap w:val="0"/>
        <w:overflowPunct/>
        <w:topLinePunct/>
        <w:autoSpaceDE/>
        <w:autoSpaceDN/>
        <w:bidi w:val="0"/>
        <w:adjustRightInd/>
        <w:snapToGrid/>
        <w:spacing w:line="480" w:lineRule="auto"/>
        <w:ind w:firstLine="480" w:firstLineChars="200"/>
        <w:jc w:val="left"/>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主梁牛腿锈蚀；栈桥、梯道涂装剥落；墩柱涂装剥落，墩柱根部钢板锈蚀；全桥栏杆不同程度锈蚀，局部栏杆立柱断裂；泄水孔堵塞、排水槽锈蚀；伸缩缝渗水锈蚀、损坏、缺失；梁出现横向裂缝；梯道钢板锈蚀；桥面铺装开裂、起拱、破损等维修加固服务。</w:t>
      </w:r>
    </w:p>
    <w:p w14:paraId="7EA99636">
      <w:pPr>
        <w:keepNext w:val="0"/>
        <w:keepLines w:val="0"/>
        <w:pageBreakBefore w:val="0"/>
        <w:widowControl w:val="0"/>
        <w:tabs>
          <w:tab w:val="left" w:pos="711"/>
        </w:tabs>
        <w:kinsoku/>
        <w:wordWrap w:val="0"/>
        <w:overflowPunct/>
        <w:topLinePunct/>
        <w:autoSpaceDE/>
        <w:autoSpaceDN/>
        <w:bidi w:val="0"/>
        <w:adjustRightInd/>
        <w:snapToGrid/>
        <w:spacing w:line="480" w:lineRule="auto"/>
        <w:ind w:firstLine="482" w:firstLineChars="200"/>
        <w:jc w:val="left"/>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（三）</w:t>
      </w:r>
      <w:r>
        <w:rPr>
          <w:rFonts w:hint="eastAsia" w:ascii="宋体" w:hAnsi="宋体" w:eastAsia="宋体" w:cs="宋体"/>
          <w:b/>
          <w:bCs/>
          <w:color w:val="auto"/>
          <w:sz w:val="24"/>
          <w:szCs w:val="24"/>
        </w:rPr>
        <w:t>服务要求</w:t>
      </w:r>
    </w:p>
    <w:p w14:paraId="15F43FFB">
      <w:pPr>
        <w:keepNext w:val="0"/>
        <w:keepLines w:val="0"/>
        <w:pageBreakBefore w:val="0"/>
        <w:widowControl w:val="0"/>
        <w:tabs>
          <w:tab w:val="left" w:pos="711"/>
        </w:tabs>
        <w:kinsoku/>
        <w:wordWrap w:val="0"/>
        <w:overflowPunct/>
        <w:topLinePunct/>
        <w:autoSpaceDE/>
        <w:autoSpaceDN/>
        <w:bidi w:val="0"/>
        <w:adjustRightInd/>
        <w:snapToGrid/>
        <w:spacing w:line="480" w:lineRule="auto"/>
        <w:ind w:firstLine="482" w:firstLineChars="20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1.主桥涂装维修方案</w:t>
      </w:r>
    </w:p>
    <w:p w14:paraId="76CC9181">
      <w:pPr>
        <w:keepNext w:val="0"/>
        <w:keepLines w:val="0"/>
        <w:pageBreakBefore w:val="0"/>
        <w:widowControl w:val="0"/>
        <w:tabs>
          <w:tab w:val="left" w:pos="711"/>
        </w:tabs>
        <w:kinsoku/>
        <w:wordWrap w:val="0"/>
        <w:overflowPunct/>
        <w:topLinePunct/>
        <w:autoSpaceDE/>
        <w:autoSpaceDN/>
        <w:bidi w:val="0"/>
        <w:adjustRightInd/>
        <w:snapToGrid/>
        <w:spacing w:line="480" w:lineRule="auto"/>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主梁为钢结构箱梁，涂装锈蚀点绝大部分位于环形主梁与分支主梁、栈桥、梯道相接的牛腿处，少部分位于主梁梁侧。牛腿处锈蚀严重，漆膜脱落严重。本次维修中对全桥先进行打磨除锈，后按《公路桥梁钢结构防腐涂装技术条件》（JT-T 722-2023）中要求重新进行防腐涂装的施工。</w:t>
      </w:r>
    </w:p>
    <w:p w14:paraId="58EE5237">
      <w:pPr>
        <w:keepNext w:val="0"/>
        <w:keepLines w:val="0"/>
        <w:widowControl w:val="0"/>
        <w:suppressLineNumbers w:val="0"/>
        <w:tabs>
          <w:tab w:val="left" w:pos="711"/>
        </w:tabs>
        <w:wordWrap w:val="0"/>
        <w:topLinePunct/>
        <w:spacing w:line="480" w:lineRule="auto"/>
        <w:ind w:firstLine="482" w:firstLineChars="200"/>
        <w:jc w:val="left"/>
        <w:rPr>
          <w:rFonts w:hint="eastAsia" w:ascii="宋体" w:hAnsi="宋体" w:eastAsia="宋体" w:cs="宋体"/>
          <w:b/>
          <w:bCs/>
          <w:color w:val="auto"/>
          <w:sz w:val="24"/>
          <w:szCs w:val="24"/>
        </w:rPr>
      </w:pPr>
      <w:r>
        <w:rPr>
          <w:rFonts w:hint="eastAsia" w:ascii="宋体" w:hAnsi="宋体" w:eastAsia="宋体" w:cs="宋体"/>
          <w:b/>
          <w:bCs/>
          <w:color w:val="auto"/>
          <w:kern w:val="2"/>
          <w:sz w:val="24"/>
          <w:szCs w:val="24"/>
          <w:lang w:val="en-US" w:eastAsia="zh-CN" w:bidi="ar"/>
        </w:rPr>
        <w:t xml:space="preserve">2.栈桥涂装维修方案 </w:t>
      </w:r>
    </w:p>
    <w:p w14:paraId="4313E427">
      <w:pPr>
        <w:keepNext w:val="0"/>
        <w:keepLines w:val="0"/>
        <w:widowControl w:val="0"/>
        <w:suppressLineNumbers w:val="0"/>
        <w:tabs>
          <w:tab w:val="left" w:pos="711"/>
        </w:tabs>
        <w:wordWrap w:val="0"/>
        <w:topLinePunct/>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
        </w:rPr>
        <w:t>栈桥为钢筋混凝土梁，涂装破损点散乱分布于梁体侧面、底面及牛腿处，且涂装脱落严重。本次维修中需先对东侧栈桥梁底及梁侧的原涂装进行铲除，后按《混凝土桥梁结构表面涂层防腐技术条件》（JT/T 695-2007）中要求重新进行防腐涂装的施工。</w:t>
      </w:r>
    </w:p>
    <w:p w14:paraId="1FBF77EA">
      <w:pPr>
        <w:keepNext w:val="0"/>
        <w:keepLines w:val="0"/>
        <w:widowControl w:val="0"/>
        <w:suppressLineNumbers w:val="0"/>
        <w:tabs>
          <w:tab w:val="left" w:pos="711"/>
        </w:tabs>
        <w:wordWrap w:val="0"/>
        <w:topLinePunct/>
        <w:spacing w:line="480" w:lineRule="auto"/>
        <w:ind w:firstLine="482" w:firstLineChars="200"/>
        <w:jc w:val="left"/>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3.梯道涂装维修方案</w:t>
      </w:r>
      <w:r>
        <w:rPr>
          <w:rFonts w:hint="eastAsia" w:ascii="宋体" w:hAnsi="宋体" w:eastAsia="宋体" w:cs="宋体"/>
          <w:color w:val="auto"/>
          <w:sz w:val="24"/>
          <w:szCs w:val="24"/>
          <w:lang w:val="en-US" w:eastAsia="zh-CN"/>
        </w:rPr>
        <w:t xml:space="preserve"> </w:t>
      </w:r>
    </w:p>
    <w:p w14:paraId="45F24170">
      <w:pPr>
        <w:keepNext w:val="0"/>
        <w:keepLines w:val="0"/>
        <w:widowControl w:val="0"/>
        <w:suppressLineNumbers w:val="0"/>
        <w:tabs>
          <w:tab w:val="left" w:pos="711"/>
        </w:tabs>
        <w:wordWrap w:val="0"/>
        <w:topLinePunct/>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梯道为钢筋混凝土梁，涂装破损点散乱分布于梁体底面及牛腿处，且涂装脱落严重，踢脚板锈蚀严重。本次维修中需先对除西侧栈桥梯道外的8处梯道梁底及梁侧的混凝土结构原涂装进行铲除，对梯道踢脚板及外侧钢面板进行打磨除锈，后对梁底及梁侧的混凝土结构按《混凝土桥梁结构表面涂层防腐技术条件》（JT/T 695-2007）中要求重新进行防腐涂装的施工，对梯道踢脚板及外侧钢面板按《公路桥梁钢结构防腐涂装技术条件》（JT-T 722-2023）中要求重新进行防腐涂装的施工。</w:t>
      </w:r>
    </w:p>
    <w:p w14:paraId="2765944B">
      <w:pPr>
        <w:keepNext w:val="0"/>
        <w:keepLines w:val="0"/>
        <w:widowControl w:val="0"/>
        <w:suppressLineNumbers w:val="0"/>
        <w:tabs>
          <w:tab w:val="left" w:pos="711"/>
        </w:tabs>
        <w:wordWrap w:val="0"/>
        <w:topLinePunct/>
        <w:spacing w:line="480" w:lineRule="auto"/>
        <w:ind w:firstLine="482" w:firstLineChars="200"/>
        <w:jc w:val="left"/>
        <w:rPr>
          <w:rFonts w:hint="eastAsia" w:ascii="宋体" w:hAnsi="宋体" w:eastAsia="宋体" w:cs="宋体"/>
          <w:b/>
          <w:bCs/>
          <w:color w:val="auto"/>
          <w:sz w:val="24"/>
          <w:szCs w:val="24"/>
        </w:rPr>
      </w:pPr>
      <w:r>
        <w:rPr>
          <w:rFonts w:hint="eastAsia" w:ascii="宋体" w:hAnsi="宋体" w:eastAsia="宋体" w:cs="宋体"/>
          <w:b/>
          <w:bCs/>
          <w:color w:val="auto"/>
          <w:kern w:val="2"/>
          <w:sz w:val="24"/>
          <w:szCs w:val="24"/>
          <w:lang w:val="en-US" w:eastAsia="zh-CN" w:bidi="ar"/>
        </w:rPr>
        <w:t xml:space="preserve">4.墩柱涂装维修方案 </w:t>
      </w:r>
    </w:p>
    <w:p w14:paraId="27F5F2D9">
      <w:pPr>
        <w:keepNext w:val="0"/>
        <w:keepLines w:val="0"/>
        <w:widowControl w:val="0"/>
        <w:suppressLineNumbers w:val="0"/>
        <w:tabs>
          <w:tab w:val="left" w:pos="711"/>
        </w:tabs>
        <w:wordWrap w:val="0"/>
        <w:topLinePunct/>
        <w:spacing w:line="480" w:lineRule="auto"/>
        <w:ind w:firstLine="482" w:firstLineChars="200"/>
        <w:jc w:val="left"/>
        <w:rPr>
          <w:rFonts w:hint="eastAsia" w:ascii="宋体" w:hAnsi="宋体" w:eastAsia="宋体" w:cs="宋体"/>
          <w:color w:val="auto"/>
          <w:sz w:val="24"/>
          <w:szCs w:val="24"/>
        </w:rPr>
      </w:pPr>
      <w:r>
        <w:rPr>
          <w:rFonts w:hint="eastAsia" w:ascii="宋体" w:hAnsi="宋体" w:eastAsia="宋体" w:cs="宋体"/>
          <w:b/>
          <w:bCs/>
          <w:color w:val="auto"/>
          <w:kern w:val="2"/>
          <w:sz w:val="24"/>
          <w:szCs w:val="24"/>
          <w:lang w:val="en-US" w:eastAsia="zh-CN" w:bidi="ar"/>
        </w:rPr>
        <w:t>4.1主梁墩柱维修方案</w:t>
      </w:r>
      <w:r>
        <w:rPr>
          <w:rFonts w:hint="eastAsia" w:ascii="宋体" w:hAnsi="宋体" w:eastAsia="宋体" w:cs="宋体"/>
          <w:b w:val="0"/>
          <w:bCs w:val="0"/>
          <w:color w:val="auto"/>
          <w:kern w:val="2"/>
          <w:sz w:val="24"/>
          <w:szCs w:val="24"/>
          <w:lang w:val="en-US" w:eastAsia="zh-CN" w:bidi="ar"/>
        </w:rPr>
        <w:t xml:space="preserve"> </w:t>
      </w:r>
    </w:p>
    <w:p w14:paraId="485D786B">
      <w:pPr>
        <w:keepNext w:val="0"/>
        <w:keepLines w:val="0"/>
        <w:widowControl w:val="0"/>
        <w:suppressLineNumbers w:val="0"/>
        <w:tabs>
          <w:tab w:val="left" w:pos="711"/>
        </w:tabs>
        <w:wordWrap w:val="0"/>
        <w:topLinePunct/>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
        </w:rPr>
        <w:t xml:space="preserve">主梁墩柱为钢结构墩，涂装破损、锈蚀主要位于墩柱根部，涂装损坏位于墩柱中部。本次维修中需先对主桥墩柱进行打磨除锈，后按《公路桥梁钢结构防腐涂装技术条件》（JT-T 722-2023）中要求重新进行防腐涂装的施工。 </w:t>
      </w:r>
    </w:p>
    <w:p w14:paraId="4E42EBBD">
      <w:pPr>
        <w:keepNext w:val="0"/>
        <w:keepLines w:val="0"/>
        <w:widowControl w:val="0"/>
        <w:suppressLineNumbers w:val="0"/>
        <w:tabs>
          <w:tab w:val="left" w:pos="711"/>
        </w:tabs>
        <w:wordWrap w:val="0"/>
        <w:topLinePunct/>
        <w:spacing w:line="480" w:lineRule="auto"/>
        <w:ind w:firstLine="482" w:firstLineChars="200"/>
        <w:jc w:val="left"/>
        <w:rPr>
          <w:rFonts w:hint="eastAsia" w:ascii="宋体" w:hAnsi="宋体" w:eastAsia="宋体" w:cs="宋体"/>
          <w:b/>
          <w:bCs/>
          <w:color w:val="auto"/>
          <w:sz w:val="24"/>
          <w:szCs w:val="24"/>
        </w:rPr>
      </w:pPr>
      <w:r>
        <w:rPr>
          <w:rFonts w:hint="eastAsia" w:ascii="宋体" w:hAnsi="宋体" w:eastAsia="宋体" w:cs="宋体"/>
          <w:b/>
          <w:bCs/>
          <w:color w:val="auto"/>
          <w:kern w:val="2"/>
          <w:sz w:val="24"/>
          <w:szCs w:val="24"/>
          <w:lang w:val="en-US" w:eastAsia="zh-CN" w:bidi="ar"/>
        </w:rPr>
        <w:t xml:space="preserve">4.2栈桥及梯道墩柱、盖梁维修方案 </w:t>
      </w:r>
    </w:p>
    <w:p w14:paraId="4EDF3D93">
      <w:pPr>
        <w:keepNext w:val="0"/>
        <w:keepLines w:val="0"/>
        <w:widowControl w:val="0"/>
        <w:suppressLineNumbers w:val="0"/>
        <w:tabs>
          <w:tab w:val="left" w:pos="711"/>
        </w:tabs>
        <w:wordWrap w:val="0"/>
        <w:topLinePunct/>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
        </w:rPr>
        <w:t xml:space="preserve">栈桥及梯道墩柱、盖梁为钢筋混凝土结构，涂装破损点散乱分布于墩柱上、中、下各处，涂装脱落严重，部分露筋。本次维修中需先对全桥所有栈桥及梯道墩柱、盖梁的原涂装进行铲除，对露筋处进行修补，后按《混凝土桥梁结构表面涂层防腐技术条件》（JT/T 695-2007）中要求重新进行防腐涂装的施工。 </w:t>
      </w:r>
    </w:p>
    <w:p w14:paraId="0BCDA3EE">
      <w:pPr>
        <w:keepNext w:val="0"/>
        <w:keepLines w:val="0"/>
        <w:widowControl w:val="0"/>
        <w:suppressLineNumbers w:val="0"/>
        <w:tabs>
          <w:tab w:val="left" w:pos="711"/>
        </w:tabs>
        <w:wordWrap w:val="0"/>
        <w:topLinePunct/>
        <w:spacing w:line="480" w:lineRule="auto"/>
        <w:ind w:firstLine="482" w:firstLineChars="200"/>
        <w:jc w:val="left"/>
        <w:rPr>
          <w:rFonts w:hint="eastAsia" w:ascii="宋体" w:hAnsi="宋体" w:eastAsia="宋体" w:cs="宋体"/>
          <w:b/>
          <w:bCs/>
          <w:color w:val="auto"/>
          <w:sz w:val="24"/>
          <w:szCs w:val="24"/>
        </w:rPr>
      </w:pPr>
      <w:r>
        <w:rPr>
          <w:rFonts w:hint="eastAsia" w:ascii="宋体" w:hAnsi="宋体" w:eastAsia="宋体" w:cs="宋体"/>
          <w:b/>
          <w:bCs/>
          <w:color w:val="auto"/>
          <w:kern w:val="2"/>
          <w:sz w:val="24"/>
          <w:szCs w:val="24"/>
          <w:lang w:val="en-US" w:eastAsia="zh-CN" w:bidi="ar"/>
        </w:rPr>
        <w:t xml:space="preserve">5.全桥栏杆维修方案 </w:t>
      </w:r>
    </w:p>
    <w:p w14:paraId="75FB0DF1">
      <w:pPr>
        <w:keepNext w:val="0"/>
        <w:keepLines w:val="0"/>
        <w:widowControl w:val="0"/>
        <w:suppressLineNumbers w:val="0"/>
        <w:tabs>
          <w:tab w:val="left" w:pos="711"/>
        </w:tabs>
        <w:wordWrap w:val="0"/>
        <w:topLinePunct/>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
        </w:rPr>
        <w:t xml:space="preserve">全桥护栏为钢制护栏，护栏主要病害为涂装破损、锈蚀、部分断裂，病害主要位于护栏根部。本次维修中需先对原护栏进行打磨除锈，对立柱断裂处进行重新焊接加固（若断裂处处于基座混凝土内，需先凿除基座混凝土后再进行焊接），后按《公路桥梁钢结构防腐涂装技术条件》（JT-T 722-2023）中要求重新进行防腐涂装的施工。对于护栏基座破损处，需先对护栏基座原涂装进行铲除，修复基座混凝土结构性破损，后按《混凝土桥梁结构表面涂层防腐技术条件》（JT/T 695-2007）中要求重新进行防腐涂装的施工。 </w:t>
      </w:r>
    </w:p>
    <w:p w14:paraId="26E9EE45">
      <w:pPr>
        <w:keepNext w:val="0"/>
        <w:keepLines w:val="0"/>
        <w:widowControl w:val="0"/>
        <w:suppressLineNumbers w:val="0"/>
        <w:tabs>
          <w:tab w:val="left" w:pos="711"/>
        </w:tabs>
        <w:wordWrap w:val="0"/>
        <w:topLinePunct/>
        <w:spacing w:line="480" w:lineRule="auto"/>
        <w:ind w:firstLine="482" w:firstLineChars="200"/>
        <w:jc w:val="left"/>
        <w:rPr>
          <w:rFonts w:hint="eastAsia" w:ascii="宋体" w:hAnsi="宋体" w:eastAsia="宋体" w:cs="宋体"/>
          <w:b/>
          <w:bCs/>
          <w:color w:val="auto"/>
          <w:sz w:val="24"/>
          <w:szCs w:val="24"/>
        </w:rPr>
      </w:pPr>
      <w:r>
        <w:rPr>
          <w:rFonts w:hint="eastAsia" w:ascii="宋体" w:hAnsi="宋体" w:eastAsia="宋体" w:cs="宋体"/>
          <w:b/>
          <w:bCs/>
          <w:color w:val="auto"/>
          <w:kern w:val="2"/>
          <w:sz w:val="24"/>
          <w:szCs w:val="24"/>
          <w:lang w:val="en-US" w:eastAsia="zh-CN" w:bidi="ar"/>
        </w:rPr>
        <w:t xml:space="preserve">6.排水沟槽维修方案 </w:t>
      </w:r>
    </w:p>
    <w:p w14:paraId="6B3EAD20">
      <w:pPr>
        <w:keepNext w:val="0"/>
        <w:keepLines w:val="0"/>
        <w:widowControl w:val="0"/>
        <w:suppressLineNumbers w:val="0"/>
        <w:tabs>
          <w:tab w:val="left" w:pos="711"/>
        </w:tabs>
        <w:wordWrap w:val="0"/>
        <w:topLinePunct/>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
        </w:rPr>
        <w:t xml:space="preserve">主梁侧面排水管道为钢制排水槽，排水槽主要病害为涂装破损、锈蚀，病害主要位于排水槽侧面。本次维修中需先对排水槽锈蚀处进行打磨除锈，后按《公路桥梁钢结构防腐涂装技术条件》（JT-T 722-2023）中要求重新进行防腐涂装的施工。对于泄水孔堵塞处，需清除杂物疏通孔道后，在泄水孔上补充安装泄水孔盖。 </w:t>
      </w:r>
    </w:p>
    <w:p w14:paraId="6E232891">
      <w:pPr>
        <w:keepNext w:val="0"/>
        <w:keepLines w:val="0"/>
        <w:widowControl w:val="0"/>
        <w:suppressLineNumbers w:val="0"/>
        <w:tabs>
          <w:tab w:val="left" w:pos="711"/>
        </w:tabs>
        <w:wordWrap w:val="0"/>
        <w:topLinePunct/>
        <w:spacing w:line="480" w:lineRule="auto"/>
        <w:ind w:firstLine="482" w:firstLineChars="200"/>
        <w:jc w:val="left"/>
        <w:rPr>
          <w:rFonts w:hint="eastAsia" w:ascii="宋体" w:hAnsi="宋体" w:eastAsia="宋体" w:cs="宋体"/>
          <w:color w:val="auto"/>
          <w:sz w:val="24"/>
          <w:szCs w:val="24"/>
        </w:rPr>
      </w:pPr>
      <w:r>
        <w:rPr>
          <w:rFonts w:hint="eastAsia" w:ascii="宋体" w:hAnsi="宋体" w:eastAsia="宋体" w:cs="宋体"/>
          <w:b/>
          <w:bCs/>
          <w:color w:val="auto"/>
          <w:kern w:val="2"/>
          <w:sz w:val="24"/>
          <w:szCs w:val="24"/>
          <w:lang w:val="en-US" w:eastAsia="zh-CN" w:bidi="ar"/>
        </w:rPr>
        <w:t>7.伸缩缝维修方案</w:t>
      </w:r>
      <w:r>
        <w:rPr>
          <w:rFonts w:hint="eastAsia" w:ascii="宋体" w:hAnsi="宋体" w:eastAsia="宋体" w:cs="宋体"/>
          <w:b w:val="0"/>
          <w:bCs w:val="0"/>
          <w:color w:val="auto"/>
          <w:kern w:val="2"/>
          <w:sz w:val="24"/>
          <w:szCs w:val="24"/>
          <w:lang w:val="en-US" w:eastAsia="zh-CN" w:bidi="ar"/>
        </w:rPr>
        <w:t xml:space="preserve"> </w:t>
      </w:r>
    </w:p>
    <w:p w14:paraId="715B518C">
      <w:pPr>
        <w:keepNext w:val="0"/>
        <w:keepLines w:val="0"/>
        <w:widowControl w:val="0"/>
        <w:suppressLineNumbers w:val="0"/>
        <w:tabs>
          <w:tab w:val="left" w:pos="711"/>
        </w:tabs>
        <w:wordWrap w:val="0"/>
        <w:topLinePunct/>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
        </w:rPr>
        <w:t>现状伸缩缝使用建议盖板处理，且盖板已损坏，伸缩缝处渗水严重，导致伸缩缝处牛腿锈蚀。本次维修需重新更换、安装C40型伸缩缝。伸缩缝安装以厂家指导为准，可参考浅埋式毛肋缝的构造和施工工艺。</w:t>
      </w:r>
    </w:p>
    <w:p w14:paraId="33E5E83E">
      <w:pPr>
        <w:keepNext w:val="0"/>
        <w:keepLines w:val="0"/>
        <w:widowControl w:val="0"/>
        <w:suppressLineNumbers w:val="0"/>
        <w:tabs>
          <w:tab w:val="left" w:pos="711"/>
        </w:tabs>
        <w:wordWrap w:val="0"/>
        <w:topLinePunct/>
        <w:spacing w:line="480" w:lineRule="auto"/>
        <w:ind w:firstLine="482" w:firstLineChars="20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8.</w:t>
      </w:r>
      <w:r>
        <w:rPr>
          <w:rFonts w:hint="eastAsia" w:ascii="宋体" w:hAnsi="宋体" w:eastAsia="宋体" w:cs="宋体"/>
          <w:b/>
          <w:bCs/>
          <w:color w:val="auto"/>
          <w:sz w:val="24"/>
          <w:szCs w:val="24"/>
        </w:rPr>
        <w:t>桥面铺装维修方案</w:t>
      </w:r>
    </w:p>
    <w:p w14:paraId="3D0CB50B">
      <w:pPr>
        <w:keepNext w:val="0"/>
        <w:keepLines w:val="0"/>
        <w:widowControl w:val="0"/>
        <w:suppressLineNumbers w:val="0"/>
        <w:tabs>
          <w:tab w:val="left" w:pos="711"/>
        </w:tabs>
        <w:wordWrap w:val="0"/>
        <w:topLinePunct/>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司门口天桥主桥为钢箱梁结构，栈桥为混凝土Π型梁，梯道为混凝土梁板结构。</w:t>
      </w:r>
    </w:p>
    <w:p w14:paraId="1DDAABC1">
      <w:pPr>
        <w:keepNext w:val="0"/>
        <w:keepLines w:val="0"/>
        <w:widowControl w:val="0"/>
        <w:suppressLineNumbers w:val="0"/>
        <w:tabs>
          <w:tab w:val="left" w:pos="711"/>
        </w:tabs>
        <w:wordWrap w:val="0"/>
        <w:topLinePunct/>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主桥原设计铺装为：钢箱梁之上铺设200号50mm厚细石混凝土，细石混凝土上铺设20mm厚塑胶地面。</w:t>
      </w:r>
    </w:p>
    <w:p w14:paraId="09590426">
      <w:pPr>
        <w:keepNext w:val="0"/>
        <w:keepLines w:val="0"/>
        <w:widowControl w:val="0"/>
        <w:suppressLineNumbers w:val="0"/>
        <w:tabs>
          <w:tab w:val="left" w:pos="711"/>
        </w:tabs>
        <w:wordWrap w:val="0"/>
        <w:topLinePunct/>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栈桥及梯道原设计铺装为：混凝土梁顶板上铺设20mm厚塑胶地面。</w:t>
      </w:r>
    </w:p>
    <w:p w14:paraId="43546452">
      <w:pPr>
        <w:keepNext w:val="0"/>
        <w:keepLines w:val="0"/>
        <w:pageBreakBefore w:val="0"/>
        <w:widowControl w:val="0"/>
        <w:tabs>
          <w:tab w:val="left" w:pos="711"/>
        </w:tabs>
        <w:kinsoku/>
        <w:wordWrap w:val="0"/>
        <w:overflowPunct/>
        <w:topLinePunct/>
        <w:autoSpaceDE/>
        <w:autoSpaceDN/>
        <w:bidi w:val="0"/>
        <w:adjustRightInd/>
        <w:snapToGrid/>
        <w:spacing w:line="480" w:lineRule="auto"/>
        <w:ind w:firstLine="0" w:firstLineChars="0"/>
        <w:jc w:val="both"/>
        <w:textAlignment w:val="auto"/>
        <w:rPr>
          <w:rFonts w:hint="eastAsia" w:ascii="宋体" w:hAnsi="宋体" w:eastAsia="宋体" w:cs="宋体"/>
          <w:b/>
          <w:bCs/>
          <w:color w:val="auto"/>
          <w:sz w:val="24"/>
          <w:szCs w:val="24"/>
          <w:lang w:val="en-US" w:eastAsia="zh-CN"/>
        </w:rPr>
      </w:pPr>
      <w:r>
        <w:rPr>
          <w:rFonts w:hint="eastAsia" w:ascii="宋体" w:hAnsi="宋体" w:eastAsia="宋体" w:cs="宋体"/>
          <w:sz w:val="24"/>
          <w:szCs w:val="24"/>
        </w:rPr>
        <w:drawing>
          <wp:inline distT="0" distB="0" distL="114300" distR="114300">
            <wp:extent cx="5273675" cy="2454910"/>
            <wp:effectExtent l="0" t="0" r="9525"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3675" cy="2454910"/>
                    </a:xfrm>
                    <a:prstGeom prst="rect">
                      <a:avLst/>
                    </a:prstGeom>
                    <a:noFill/>
                    <a:ln>
                      <a:noFill/>
                    </a:ln>
                  </pic:spPr>
                </pic:pic>
              </a:graphicData>
            </a:graphic>
          </wp:inline>
        </w:drawing>
      </w:r>
    </w:p>
    <w:p w14:paraId="4297EB10">
      <w:pPr>
        <w:keepNext w:val="0"/>
        <w:keepLines w:val="0"/>
        <w:pageBreakBefore w:val="0"/>
        <w:widowControl w:val="0"/>
        <w:tabs>
          <w:tab w:val="left" w:pos="711"/>
        </w:tabs>
        <w:kinsoku/>
        <w:wordWrap w:val="0"/>
        <w:overflowPunct/>
        <w:topLinePunct/>
        <w:autoSpaceDE/>
        <w:autoSpaceDN/>
        <w:bidi w:val="0"/>
        <w:adjustRightInd/>
        <w:snapToGrid/>
        <w:spacing w:line="480" w:lineRule="auto"/>
        <w:ind w:firstLine="480" w:firstLineChars="20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val="0"/>
          <w:bCs w:val="0"/>
          <w:color w:val="auto"/>
          <w:sz w:val="24"/>
          <w:szCs w:val="24"/>
          <w:lang w:val="en-US" w:eastAsia="zh-CN"/>
        </w:rPr>
        <w:t>后经多次改造，</w:t>
      </w:r>
      <w:r>
        <w:rPr>
          <w:rFonts w:hint="eastAsia" w:ascii="宋体" w:hAnsi="宋体" w:eastAsia="宋体" w:cs="宋体"/>
          <w:b/>
          <w:bCs/>
          <w:color w:val="auto"/>
          <w:sz w:val="24"/>
          <w:szCs w:val="24"/>
          <w:lang w:val="en-US" w:eastAsia="zh-CN"/>
        </w:rPr>
        <w:t>现状司门口天桥铺装表面磨耗层改为环氧陶瓷薄层(约3mm)。</w:t>
      </w:r>
    </w:p>
    <w:p w14:paraId="14EA2372">
      <w:pPr>
        <w:keepNext w:val="0"/>
        <w:keepLines w:val="0"/>
        <w:pageBreakBefore w:val="0"/>
        <w:widowControl w:val="0"/>
        <w:tabs>
          <w:tab w:val="left" w:pos="711"/>
        </w:tabs>
        <w:kinsoku/>
        <w:wordWrap w:val="0"/>
        <w:overflowPunct/>
        <w:topLinePunct/>
        <w:autoSpaceDE/>
        <w:autoSpaceDN/>
        <w:bidi w:val="0"/>
        <w:adjustRightInd/>
        <w:snapToGrid/>
        <w:spacing w:line="480" w:lineRule="auto"/>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现阶段常用铺装有以下两种：（1）环氧陶瓷薄层（约3~5mm 厚）；（2）彩色艺术压花混凝土（50mm厚）。</w:t>
      </w:r>
    </w:p>
    <w:p w14:paraId="5E4FDE97">
      <w:pPr>
        <w:keepNext w:val="0"/>
        <w:keepLines w:val="0"/>
        <w:pageBreakBefore w:val="0"/>
        <w:widowControl w:val="0"/>
        <w:tabs>
          <w:tab w:val="left" w:pos="711"/>
        </w:tabs>
        <w:kinsoku/>
        <w:wordWrap w:val="0"/>
        <w:overflowPunct/>
        <w:topLinePunct/>
        <w:autoSpaceDE/>
        <w:autoSpaceDN/>
        <w:bidi w:val="0"/>
        <w:adjustRightInd/>
        <w:snapToGrid/>
        <w:spacing w:line="480" w:lineRule="auto"/>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本项目桥面铺装环形主桥段采用彩色艺术压花混凝土，栈桥段采用环氧陶瓷薄层，两种铺装需调配为同一颜色。 </w:t>
      </w:r>
    </w:p>
    <w:p w14:paraId="40A970BF">
      <w:pPr>
        <w:keepNext w:val="0"/>
        <w:keepLines w:val="0"/>
        <w:pageBreakBefore w:val="0"/>
        <w:widowControl w:val="0"/>
        <w:tabs>
          <w:tab w:val="left" w:pos="711"/>
        </w:tabs>
        <w:kinsoku/>
        <w:wordWrap w:val="0"/>
        <w:overflowPunct/>
        <w:topLinePunct/>
        <w:autoSpaceDE/>
        <w:autoSpaceDN/>
        <w:bidi w:val="0"/>
        <w:adjustRightInd/>
        <w:snapToGrid/>
        <w:spacing w:line="480" w:lineRule="auto"/>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（1）主梁铺装维修方案 </w:t>
      </w:r>
    </w:p>
    <w:p w14:paraId="289D9CBE">
      <w:pPr>
        <w:keepNext w:val="0"/>
        <w:keepLines w:val="0"/>
        <w:pageBreakBefore w:val="0"/>
        <w:widowControl w:val="0"/>
        <w:tabs>
          <w:tab w:val="left" w:pos="711"/>
        </w:tabs>
        <w:kinsoku/>
        <w:wordWrap w:val="0"/>
        <w:overflowPunct/>
        <w:topLinePunct/>
        <w:autoSpaceDE/>
        <w:autoSpaceDN/>
        <w:bidi w:val="0"/>
        <w:adjustRightInd/>
        <w:snapToGrid/>
        <w:spacing w:line="480" w:lineRule="auto"/>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主梁铺装结构为混凝土基层+环氧薄层。主梁Z2-Z3、Z4-Z5间混凝土基层大面积起拱、断裂，脱离梁体，雨水渗入后对主梁顶面造成侵蚀。主梁其余部分铺装病害点散布于各处：破损、脏污、开裂等。本次主梁维修分两个部分：A.拆除主梁顶混凝土后对梁顶进行防腐涂装修复；B.重新植入剪力钉后铺设5cm厚C40 彩色艺术压花混凝土。 </w:t>
      </w:r>
    </w:p>
    <w:p w14:paraId="18D63CF1">
      <w:pPr>
        <w:keepNext w:val="0"/>
        <w:keepLines w:val="0"/>
        <w:pageBreakBefore w:val="0"/>
        <w:widowControl w:val="0"/>
        <w:tabs>
          <w:tab w:val="left" w:pos="711"/>
        </w:tabs>
        <w:kinsoku/>
        <w:wordWrap w:val="0"/>
        <w:overflowPunct/>
        <w:topLinePunct/>
        <w:autoSpaceDE/>
        <w:autoSpaceDN/>
        <w:bidi w:val="0"/>
        <w:adjustRightInd/>
        <w:snapToGrid/>
        <w:spacing w:line="480" w:lineRule="auto"/>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（2）栈桥、梯道铺装维修方案 </w:t>
      </w:r>
    </w:p>
    <w:p w14:paraId="3E77E285">
      <w:pPr>
        <w:keepNext w:val="0"/>
        <w:keepLines w:val="0"/>
        <w:pageBreakBefore w:val="0"/>
        <w:widowControl w:val="0"/>
        <w:tabs>
          <w:tab w:val="left" w:pos="711"/>
        </w:tabs>
        <w:kinsoku/>
        <w:wordWrap w:val="0"/>
        <w:overflowPunct/>
        <w:topLinePunct/>
        <w:autoSpaceDE/>
        <w:autoSpaceDN/>
        <w:bidi w:val="0"/>
        <w:adjustRightInd/>
        <w:snapToGrid/>
        <w:spacing w:line="480" w:lineRule="auto"/>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东栈桥、梯道结构为混凝土梁，铺装层为梁体上铺设的环氧薄层。铺装病害点散布于各处：破损、脏污、开裂等。本次主梁维修分两部分：A.对梁顶损坏露筋的混凝土梁体进行修复；B.对东栈桥、梯道铺装中的环氧薄层进行全桥的铲除与重新铺设。</w:t>
      </w:r>
    </w:p>
    <w:p w14:paraId="6A9EFB47">
      <w:pPr>
        <w:keepNext w:val="0"/>
        <w:keepLines w:val="0"/>
        <w:pageBreakBefore w:val="0"/>
        <w:widowControl w:val="0"/>
        <w:tabs>
          <w:tab w:val="left" w:pos="711"/>
        </w:tabs>
        <w:kinsoku/>
        <w:wordWrap w:val="0"/>
        <w:overflowPunct/>
        <w:topLinePunct/>
        <w:autoSpaceDE/>
        <w:autoSpaceDN/>
        <w:bidi w:val="0"/>
        <w:adjustRightInd/>
        <w:snapToGrid/>
        <w:spacing w:line="480" w:lineRule="auto"/>
        <w:ind w:firstLine="482" w:firstLineChars="20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9.其他病害维修方案 </w:t>
      </w:r>
    </w:p>
    <w:p w14:paraId="73F5B5AE">
      <w:pPr>
        <w:keepNext w:val="0"/>
        <w:keepLines w:val="0"/>
        <w:pageBreakBefore w:val="0"/>
        <w:widowControl w:val="0"/>
        <w:tabs>
          <w:tab w:val="left" w:pos="711"/>
        </w:tabs>
        <w:kinsoku/>
        <w:wordWrap w:val="0"/>
        <w:overflowPunct/>
        <w:topLinePunct/>
        <w:autoSpaceDE/>
        <w:autoSpaceDN/>
        <w:bidi w:val="0"/>
        <w:adjustRightInd/>
        <w:snapToGrid/>
        <w:spacing w:line="480" w:lineRule="auto"/>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9.1墩柱牛腿砼剥落且钢筋外露处，需将外露钢筋除锈后，凿除离散的砼直至露出新鲜完整的砼后聚合物水泥基快硬砂浆浇筑还原原结构尺寸。 </w:t>
      </w:r>
    </w:p>
    <w:p w14:paraId="0EA23CD1">
      <w:pPr>
        <w:keepNext w:val="0"/>
        <w:keepLines w:val="0"/>
        <w:pageBreakBefore w:val="0"/>
        <w:widowControl w:val="0"/>
        <w:tabs>
          <w:tab w:val="left" w:pos="711"/>
        </w:tabs>
        <w:kinsoku/>
        <w:wordWrap w:val="0"/>
        <w:overflowPunct/>
        <w:topLinePunct/>
        <w:autoSpaceDE/>
        <w:autoSpaceDN/>
        <w:bidi w:val="0"/>
        <w:adjustRightInd/>
        <w:snapToGrid/>
        <w:spacing w:line="480" w:lineRule="auto"/>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9.2在桥面铺装出现的裂缝处，凿除松散的砼直至露出新鲜完整密实的砼后，清洗表面干净，特别是在墩顶处桥面铺装有横向裂缝处，要进一步探明梁体是否也有裂缝，若有，需进一步检测其受力是否有影响，再做下一步改造；梁顶无病害处，用环氧树脂密封铺装裂缝，再还原桥面铺装面层结构，使其与原桥面铺装保持一致。 </w:t>
      </w:r>
    </w:p>
    <w:p w14:paraId="6CB24B52">
      <w:pPr>
        <w:keepNext w:val="0"/>
        <w:keepLines w:val="0"/>
        <w:pageBreakBefore w:val="0"/>
        <w:widowControl w:val="0"/>
        <w:tabs>
          <w:tab w:val="left" w:pos="711"/>
        </w:tabs>
        <w:kinsoku/>
        <w:wordWrap w:val="0"/>
        <w:overflowPunct/>
        <w:topLinePunct/>
        <w:autoSpaceDE/>
        <w:autoSpaceDN/>
        <w:bidi w:val="0"/>
        <w:adjustRightInd/>
        <w:snapToGrid/>
        <w:spacing w:line="480" w:lineRule="auto"/>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9.3盲道随铺装维修重新铺设。 </w:t>
      </w:r>
    </w:p>
    <w:p w14:paraId="2F312FE1">
      <w:pPr>
        <w:keepNext w:val="0"/>
        <w:keepLines w:val="0"/>
        <w:pageBreakBefore w:val="0"/>
        <w:widowControl w:val="0"/>
        <w:tabs>
          <w:tab w:val="left" w:pos="711"/>
        </w:tabs>
        <w:kinsoku/>
        <w:wordWrap w:val="0"/>
        <w:overflowPunct/>
        <w:topLinePunct/>
        <w:autoSpaceDE/>
        <w:autoSpaceDN/>
        <w:bidi w:val="0"/>
        <w:adjustRightInd/>
        <w:snapToGrid/>
        <w:spacing w:line="480" w:lineRule="auto"/>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9.4桥下净空不足处需设置防撞措施与清晰提示。 </w:t>
      </w:r>
    </w:p>
    <w:p w14:paraId="5F299856">
      <w:pPr>
        <w:keepNext w:val="0"/>
        <w:keepLines w:val="0"/>
        <w:pageBreakBefore w:val="0"/>
        <w:widowControl w:val="0"/>
        <w:tabs>
          <w:tab w:val="left" w:pos="711"/>
        </w:tabs>
        <w:kinsoku/>
        <w:wordWrap w:val="0"/>
        <w:overflowPunct/>
        <w:topLinePunct/>
        <w:autoSpaceDE/>
        <w:autoSpaceDN/>
        <w:bidi w:val="0"/>
        <w:adjustRightInd/>
        <w:snapToGrid/>
        <w:spacing w:line="480" w:lineRule="auto"/>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9.5梁出现横向裂缝，需对梁做进一步检测，根据检测结果，再进行下一步改造。 </w:t>
      </w:r>
    </w:p>
    <w:p w14:paraId="71F011FA">
      <w:pPr>
        <w:keepNext w:val="0"/>
        <w:keepLines w:val="0"/>
        <w:pageBreakBefore w:val="0"/>
        <w:widowControl w:val="0"/>
        <w:tabs>
          <w:tab w:val="left" w:pos="711"/>
        </w:tabs>
        <w:kinsoku/>
        <w:wordWrap w:val="0"/>
        <w:overflowPunct/>
        <w:topLinePunct/>
        <w:autoSpaceDE/>
        <w:autoSpaceDN/>
        <w:bidi w:val="0"/>
        <w:adjustRightInd/>
        <w:snapToGrid/>
        <w:spacing w:line="480" w:lineRule="auto"/>
        <w:ind w:firstLine="482" w:firstLineChars="20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10.涂装施工工艺 </w:t>
      </w:r>
    </w:p>
    <w:p w14:paraId="6EE72FED">
      <w:pPr>
        <w:keepNext w:val="0"/>
        <w:keepLines w:val="0"/>
        <w:pageBreakBefore w:val="0"/>
        <w:widowControl w:val="0"/>
        <w:tabs>
          <w:tab w:val="left" w:pos="711"/>
        </w:tabs>
        <w:kinsoku/>
        <w:wordWrap w:val="0"/>
        <w:overflowPunct/>
        <w:topLinePunct/>
        <w:autoSpaceDE/>
        <w:autoSpaceDN/>
        <w:bidi w:val="0"/>
        <w:adjustRightInd/>
        <w:snapToGrid/>
        <w:spacing w:line="480" w:lineRule="auto"/>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按照不同维修部位参照如下要求重新涂装。涂装面漆的颜色及品种同现状桥梁。</w:t>
      </w:r>
    </w:p>
    <w:p w14:paraId="0615CF79">
      <w:pPr>
        <w:keepNext w:val="0"/>
        <w:keepLines w:val="0"/>
        <w:pageBreakBefore w:val="0"/>
        <w:widowControl w:val="0"/>
        <w:tabs>
          <w:tab w:val="left" w:pos="711"/>
        </w:tabs>
        <w:kinsoku/>
        <w:wordWrap w:val="0"/>
        <w:overflowPunct/>
        <w:topLinePunct/>
        <w:autoSpaceDE/>
        <w:autoSpaceDN/>
        <w:bidi w:val="0"/>
        <w:adjustRightInd/>
        <w:snapToGrid/>
        <w:spacing w:line="480" w:lineRule="auto"/>
        <w:ind w:firstLine="482" w:firstLineChars="200"/>
        <w:jc w:val="center"/>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混凝土结构涂装施工体系</w:t>
      </w:r>
    </w:p>
    <w:tbl>
      <w:tblPr>
        <w:tblStyle w:val="5"/>
        <w:tblW w:w="8522"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top w:w="0" w:type="dxa"/>
          <w:left w:w="108" w:type="dxa"/>
          <w:bottom w:w="0" w:type="dxa"/>
          <w:right w:w="108" w:type="dxa"/>
        </w:tblCellMar>
      </w:tblPr>
      <w:tblGrid>
        <w:gridCol w:w="2010"/>
        <w:gridCol w:w="1172"/>
        <w:gridCol w:w="2592"/>
        <w:gridCol w:w="2748"/>
      </w:tblGrid>
      <w:tr w14:paraId="3E0D282F">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567" w:hRule="atLeast"/>
          <w:tblHeader/>
          <w:jc w:val="center"/>
        </w:trPr>
        <w:tc>
          <w:tcPr>
            <w:tcW w:w="2010" w:type="dxa"/>
            <w:tcBorders>
              <w:top w:val="single" w:color="auto" w:sz="12" w:space="0"/>
              <w:left w:val="single" w:color="auto" w:sz="12" w:space="0"/>
              <w:bottom w:val="nil"/>
              <w:right w:val="nil"/>
            </w:tcBorders>
            <w:noWrap w:val="0"/>
            <w:tcMar>
              <w:top w:w="-1" w:type="dxa"/>
              <w:left w:w="-1" w:type="dxa"/>
              <w:bottom w:w="-1" w:type="dxa"/>
              <w:right w:w="-1" w:type="dxa"/>
            </w:tcMar>
            <w:vAlign w:val="center"/>
          </w:tcPr>
          <w:p w14:paraId="51D45597">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bCs w:val="0"/>
                <w:color w:val="auto"/>
                <w:sz w:val="24"/>
                <w:szCs w:val="24"/>
                <w:vertAlign w:val="baseline"/>
                <w:lang w:val="en-US" w:eastAsia="zh-CN"/>
              </w:rPr>
            </w:pPr>
            <w:r>
              <w:rPr>
                <w:rFonts w:hint="eastAsia" w:ascii="宋体" w:hAnsi="宋体" w:eastAsia="宋体" w:cs="宋体"/>
                <w:b/>
                <w:bCs w:val="0"/>
                <w:color w:val="auto"/>
                <w:sz w:val="24"/>
                <w:szCs w:val="24"/>
                <w:vertAlign w:val="baseline"/>
                <w:lang w:val="en-US" w:eastAsia="zh-CN"/>
              </w:rPr>
              <w:t>基层处理</w:t>
            </w:r>
          </w:p>
        </w:tc>
        <w:tc>
          <w:tcPr>
            <w:tcW w:w="1172" w:type="dxa"/>
            <w:tcBorders>
              <w:top w:val="single" w:color="auto" w:sz="12" w:space="0"/>
              <w:left w:val="single" w:color="auto" w:sz="4" w:space="0"/>
              <w:bottom w:val="nil"/>
              <w:right w:val="nil"/>
            </w:tcBorders>
            <w:noWrap w:val="0"/>
            <w:tcMar>
              <w:top w:w="-1" w:type="dxa"/>
              <w:left w:w="-1" w:type="dxa"/>
              <w:bottom w:w="-1" w:type="dxa"/>
              <w:right w:w="-1" w:type="dxa"/>
            </w:tcMar>
            <w:vAlign w:val="center"/>
          </w:tcPr>
          <w:p w14:paraId="73423CA0">
            <w:pPr>
              <w:keepNext w:val="0"/>
              <w:keepLines w:val="0"/>
              <w:pageBreakBefore w:val="0"/>
              <w:widowControl w:val="0"/>
              <w:tabs>
                <w:tab w:val="left" w:pos="711"/>
              </w:tabs>
              <w:kinsoku/>
              <w:wordWrap w:val="0"/>
              <w:overflowPunct/>
              <w:topLinePunct/>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bCs w:val="0"/>
                <w:color w:val="auto"/>
                <w:sz w:val="24"/>
                <w:szCs w:val="24"/>
                <w:vertAlign w:val="baseline"/>
                <w:lang w:val="en-US" w:eastAsia="zh-CN"/>
              </w:rPr>
            </w:pPr>
            <w:r>
              <w:rPr>
                <w:rFonts w:hint="eastAsia" w:ascii="宋体" w:hAnsi="宋体" w:eastAsia="宋体" w:cs="宋体"/>
                <w:b/>
                <w:bCs w:val="0"/>
                <w:color w:val="auto"/>
                <w:sz w:val="24"/>
                <w:szCs w:val="24"/>
                <w:vertAlign w:val="baseline"/>
                <w:lang w:val="en-US" w:eastAsia="zh-CN"/>
              </w:rPr>
              <w:t>涂层</w:t>
            </w:r>
          </w:p>
        </w:tc>
        <w:tc>
          <w:tcPr>
            <w:tcW w:w="2592" w:type="dxa"/>
            <w:tcBorders>
              <w:top w:val="single" w:color="auto" w:sz="12" w:space="0"/>
              <w:left w:val="single" w:color="auto" w:sz="4" w:space="0"/>
              <w:bottom w:val="nil"/>
              <w:right w:val="nil"/>
            </w:tcBorders>
            <w:noWrap w:val="0"/>
            <w:tcMar>
              <w:top w:w="-1" w:type="dxa"/>
              <w:left w:w="-1" w:type="dxa"/>
              <w:bottom w:w="-1" w:type="dxa"/>
              <w:right w:w="-1" w:type="dxa"/>
            </w:tcMar>
            <w:vAlign w:val="center"/>
          </w:tcPr>
          <w:p w14:paraId="0F9F189F">
            <w:pPr>
              <w:keepNext w:val="0"/>
              <w:keepLines w:val="0"/>
              <w:pageBreakBefore w:val="0"/>
              <w:widowControl w:val="0"/>
              <w:tabs>
                <w:tab w:val="left" w:pos="711"/>
              </w:tabs>
              <w:kinsoku/>
              <w:wordWrap w:val="0"/>
              <w:overflowPunct/>
              <w:topLinePunct/>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bCs w:val="0"/>
                <w:color w:val="auto"/>
                <w:sz w:val="24"/>
                <w:szCs w:val="24"/>
                <w:vertAlign w:val="baseline"/>
                <w:lang w:val="en-US" w:eastAsia="zh-CN"/>
              </w:rPr>
            </w:pPr>
            <w:r>
              <w:rPr>
                <w:rFonts w:hint="eastAsia" w:ascii="宋体" w:hAnsi="宋体" w:eastAsia="宋体" w:cs="宋体"/>
                <w:b/>
                <w:bCs w:val="0"/>
                <w:color w:val="auto"/>
                <w:sz w:val="24"/>
                <w:szCs w:val="24"/>
                <w:vertAlign w:val="baseline"/>
                <w:lang w:val="en-US" w:eastAsia="zh-CN"/>
              </w:rPr>
              <w:t>涂料品种</w:t>
            </w:r>
          </w:p>
        </w:tc>
        <w:tc>
          <w:tcPr>
            <w:tcW w:w="2747" w:type="dxa"/>
            <w:tcBorders>
              <w:top w:val="single" w:color="auto" w:sz="12" w:space="0"/>
              <w:left w:val="single" w:color="auto" w:sz="4" w:space="0"/>
              <w:bottom w:val="nil"/>
              <w:right w:val="single" w:color="auto" w:sz="12" w:space="0"/>
            </w:tcBorders>
            <w:noWrap w:val="0"/>
            <w:tcMar>
              <w:top w:w="-1" w:type="dxa"/>
              <w:left w:w="-1" w:type="dxa"/>
              <w:bottom w:w="-1" w:type="dxa"/>
              <w:right w:w="-1" w:type="dxa"/>
            </w:tcMar>
            <w:vAlign w:val="center"/>
          </w:tcPr>
          <w:p w14:paraId="64595B6E">
            <w:pPr>
              <w:keepNext w:val="0"/>
              <w:keepLines w:val="0"/>
              <w:pageBreakBefore w:val="0"/>
              <w:widowControl w:val="0"/>
              <w:tabs>
                <w:tab w:val="left" w:pos="711"/>
              </w:tabs>
              <w:kinsoku/>
              <w:wordWrap w:val="0"/>
              <w:overflowPunct/>
              <w:topLinePunct/>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bCs w:val="0"/>
                <w:color w:val="auto"/>
                <w:sz w:val="24"/>
                <w:szCs w:val="24"/>
                <w:vertAlign w:val="baseline"/>
                <w:lang w:val="en-US" w:eastAsia="zh-CN"/>
              </w:rPr>
            </w:pPr>
            <w:r>
              <w:rPr>
                <w:rFonts w:hint="eastAsia" w:ascii="宋体" w:hAnsi="宋体" w:eastAsia="宋体" w:cs="宋体"/>
                <w:b/>
                <w:bCs w:val="0"/>
                <w:color w:val="auto"/>
                <w:sz w:val="24"/>
                <w:szCs w:val="24"/>
                <w:vertAlign w:val="baseline"/>
                <w:lang w:val="en-US" w:eastAsia="zh-CN"/>
              </w:rPr>
              <w:t>道数/最低干膜厚度</w:t>
            </w:r>
          </w:p>
        </w:tc>
      </w:tr>
      <w:tr w14:paraId="28E016BE">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567" w:hRule="atLeast"/>
          <w:jc w:val="center"/>
        </w:trPr>
        <w:tc>
          <w:tcPr>
            <w:tcW w:w="2010" w:type="dxa"/>
            <w:tcBorders>
              <w:top w:val="single" w:color="auto" w:sz="4" w:space="0"/>
              <w:left w:val="single" w:color="auto" w:sz="12" w:space="0"/>
              <w:bottom w:val="nil"/>
              <w:right w:val="nil"/>
            </w:tcBorders>
            <w:noWrap w:val="0"/>
            <w:tcMar>
              <w:top w:w="-1" w:type="dxa"/>
              <w:left w:w="-1" w:type="dxa"/>
              <w:bottom w:w="-1" w:type="dxa"/>
              <w:right w:w="-1" w:type="dxa"/>
            </w:tcMar>
            <w:vAlign w:val="center"/>
          </w:tcPr>
          <w:p w14:paraId="3C93994C">
            <w:pPr>
              <w:keepNext w:val="0"/>
              <w:keepLines w:val="0"/>
              <w:pageBreakBefore w:val="0"/>
              <w:widowControl w:val="0"/>
              <w:tabs>
                <w:tab w:val="left" w:pos="711"/>
              </w:tabs>
              <w:kinsoku/>
              <w:wordWrap w:val="0"/>
              <w:overflowPunct/>
              <w:topLinePunct/>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原涂装铲除</w:t>
            </w:r>
          </w:p>
        </w:tc>
        <w:tc>
          <w:tcPr>
            <w:tcW w:w="1172"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6FAFB2F4">
            <w:pPr>
              <w:keepNext w:val="0"/>
              <w:keepLines w:val="0"/>
              <w:pageBreakBefore w:val="0"/>
              <w:widowControl w:val="0"/>
              <w:tabs>
                <w:tab w:val="left" w:pos="711"/>
              </w:tabs>
              <w:kinsoku/>
              <w:wordWrap w:val="0"/>
              <w:overflowPunct/>
              <w:topLinePunct/>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底漆</w:t>
            </w:r>
          </w:p>
        </w:tc>
        <w:tc>
          <w:tcPr>
            <w:tcW w:w="2592"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5C4A61CE">
            <w:pPr>
              <w:keepNext w:val="0"/>
              <w:keepLines w:val="0"/>
              <w:pageBreakBefore w:val="0"/>
              <w:widowControl w:val="0"/>
              <w:tabs>
                <w:tab w:val="left" w:pos="711"/>
              </w:tabs>
              <w:kinsoku/>
              <w:wordWrap w:val="0"/>
              <w:overflowPunct/>
              <w:topLinePunct/>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环氧树脂封闭漆</w:t>
            </w:r>
          </w:p>
        </w:tc>
        <w:tc>
          <w:tcPr>
            <w:tcW w:w="2747" w:type="dxa"/>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1A5C8EC8">
            <w:pPr>
              <w:keepNext w:val="0"/>
              <w:keepLines w:val="0"/>
              <w:pageBreakBefore w:val="0"/>
              <w:widowControl w:val="0"/>
              <w:tabs>
                <w:tab w:val="left" w:pos="711"/>
              </w:tabs>
              <w:kinsoku/>
              <w:wordWrap w:val="0"/>
              <w:overflowPunct/>
              <w:topLinePunct/>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1/30um</w:t>
            </w:r>
          </w:p>
        </w:tc>
      </w:tr>
      <w:tr w14:paraId="0FA210CF">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567" w:hRule="atLeast"/>
          <w:jc w:val="center"/>
        </w:trPr>
        <w:tc>
          <w:tcPr>
            <w:tcW w:w="2010" w:type="dxa"/>
            <w:tcBorders>
              <w:top w:val="single" w:color="auto" w:sz="4" w:space="0"/>
              <w:left w:val="single" w:color="auto" w:sz="12" w:space="0"/>
              <w:bottom w:val="nil"/>
              <w:right w:val="nil"/>
            </w:tcBorders>
            <w:noWrap w:val="0"/>
            <w:tcMar>
              <w:top w:w="-1" w:type="dxa"/>
              <w:left w:w="-1" w:type="dxa"/>
              <w:bottom w:w="-1" w:type="dxa"/>
              <w:right w:w="-1" w:type="dxa"/>
            </w:tcMar>
            <w:vAlign w:val="center"/>
          </w:tcPr>
          <w:p w14:paraId="3B925EB3">
            <w:pPr>
              <w:keepNext w:val="0"/>
              <w:keepLines w:val="0"/>
              <w:pageBreakBefore w:val="0"/>
              <w:widowControl w:val="0"/>
              <w:tabs>
                <w:tab w:val="left" w:pos="711"/>
              </w:tabs>
              <w:kinsoku/>
              <w:wordWrap w:val="0"/>
              <w:overflowPunct/>
              <w:topLinePunct/>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环氧腻子找平</w:t>
            </w:r>
          </w:p>
        </w:tc>
        <w:tc>
          <w:tcPr>
            <w:tcW w:w="1172"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110BC4EB">
            <w:pPr>
              <w:keepNext w:val="0"/>
              <w:keepLines w:val="0"/>
              <w:pageBreakBefore w:val="0"/>
              <w:widowControl w:val="0"/>
              <w:tabs>
                <w:tab w:val="left" w:pos="711"/>
              </w:tabs>
              <w:kinsoku/>
              <w:wordWrap w:val="0"/>
              <w:overflowPunct/>
              <w:topLinePunct/>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中间漆</w:t>
            </w:r>
          </w:p>
        </w:tc>
        <w:tc>
          <w:tcPr>
            <w:tcW w:w="2592"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56A8FFB8">
            <w:pPr>
              <w:keepNext w:val="0"/>
              <w:keepLines w:val="0"/>
              <w:pageBreakBefore w:val="0"/>
              <w:widowControl w:val="0"/>
              <w:tabs>
                <w:tab w:val="left" w:pos="711"/>
              </w:tabs>
              <w:kinsoku/>
              <w:wordWrap w:val="0"/>
              <w:overflowPunct/>
              <w:topLinePunct/>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环氧树脂中间漆</w:t>
            </w:r>
          </w:p>
        </w:tc>
        <w:tc>
          <w:tcPr>
            <w:tcW w:w="2747" w:type="dxa"/>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05BA3F9A">
            <w:pPr>
              <w:keepNext w:val="0"/>
              <w:keepLines w:val="0"/>
              <w:pageBreakBefore w:val="0"/>
              <w:widowControl w:val="0"/>
              <w:tabs>
                <w:tab w:val="left" w:pos="711"/>
              </w:tabs>
              <w:kinsoku/>
              <w:wordWrap w:val="0"/>
              <w:overflowPunct/>
              <w:topLinePunct/>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1/100um</w:t>
            </w:r>
          </w:p>
        </w:tc>
      </w:tr>
      <w:tr w14:paraId="6B5BC772">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567" w:hRule="atLeast"/>
          <w:jc w:val="center"/>
        </w:trPr>
        <w:tc>
          <w:tcPr>
            <w:tcW w:w="2010" w:type="dxa"/>
            <w:tcBorders>
              <w:top w:val="single" w:color="auto" w:sz="4" w:space="0"/>
              <w:left w:val="single" w:color="auto" w:sz="12" w:space="0"/>
              <w:bottom w:val="single" w:color="auto" w:sz="12" w:space="0"/>
              <w:right w:val="nil"/>
            </w:tcBorders>
            <w:noWrap w:val="0"/>
            <w:tcMar>
              <w:top w:w="-1" w:type="dxa"/>
              <w:left w:w="-1" w:type="dxa"/>
              <w:bottom w:w="-1" w:type="dxa"/>
              <w:right w:w="-1" w:type="dxa"/>
            </w:tcMar>
            <w:vAlign w:val="center"/>
          </w:tcPr>
          <w:p w14:paraId="26C0AF11">
            <w:pPr>
              <w:keepNext w:val="0"/>
              <w:keepLines w:val="0"/>
              <w:pageBreakBefore w:val="0"/>
              <w:widowControl w:val="0"/>
              <w:tabs>
                <w:tab w:val="left" w:pos="711"/>
              </w:tabs>
              <w:kinsoku/>
              <w:wordWrap w:val="0"/>
              <w:overflowPunct/>
              <w:topLinePunct/>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val="0"/>
                <w:color w:val="auto"/>
                <w:sz w:val="24"/>
                <w:szCs w:val="24"/>
                <w:vertAlign w:val="baseline"/>
                <w:lang w:val="en-US" w:eastAsia="zh-CN"/>
              </w:rPr>
            </w:pPr>
          </w:p>
        </w:tc>
        <w:tc>
          <w:tcPr>
            <w:tcW w:w="1172" w:type="dxa"/>
            <w:tcBorders>
              <w:top w:val="single" w:color="auto" w:sz="4" w:space="0"/>
              <w:left w:val="single" w:color="auto" w:sz="4" w:space="0"/>
              <w:bottom w:val="single" w:color="auto" w:sz="12" w:space="0"/>
              <w:right w:val="nil"/>
            </w:tcBorders>
            <w:noWrap w:val="0"/>
            <w:tcMar>
              <w:top w:w="-1" w:type="dxa"/>
              <w:left w:w="-1" w:type="dxa"/>
              <w:bottom w:w="-1" w:type="dxa"/>
              <w:right w:w="-1" w:type="dxa"/>
            </w:tcMar>
            <w:vAlign w:val="center"/>
          </w:tcPr>
          <w:p w14:paraId="53CF1661">
            <w:pPr>
              <w:keepNext w:val="0"/>
              <w:keepLines w:val="0"/>
              <w:pageBreakBefore w:val="0"/>
              <w:widowControl w:val="0"/>
              <w:tabs>
                <w:tab w:val="left" w:pos="711"/>
              </w:tabs>
              <w:kinsoku/>
              <w:wordWrap w:val="0"/>
              <w:overflowPunct/>
              <w:topLinePunct/>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面漆</w:t>
            </w:r>
          </w:p>
        </w:tc>
        <w:tc>
          <w:tcPr>
            <w:tcW w:w="2592" w:type="dxa"/>
            <w:tcBorders>
              <w:top w:val="single" w:color="auto" w:sz="4" w:space="0"/>
              <w:left w:val="single" w:color="auto" w:sz="4" w:space="0"/>
              <w:bottom w:val="single" w:color="auto" w:sz="12" w:space="0"/>
              <w:right w:val="nil"/>
            </w:tcBorders>
            <w:noWrap w:val="0"/>
            <w:tcMar>
              <w:top w:w="-1" w:type="dxa"/>
              <w:left w:w="-1" w:type="dxa"/>
              <w:bottom w:w="-1" w:type="dxa"/>
              <w:right w:w="-1" w:type="dxa"/>
            </w:tcMar>
            <w:vAlign w:val="center"/>
          </w:tcPr>
          <w:p w14:paraId="132D0D92">
            <w:pPr>
              <w:keepNext w:val="0"/>
              <w:keepLines w:val="0"/>
              <w:pageBreakBefore w:val="0"/>
              <w:widowControl w:val="0"/>
              <w:tabs>
                <w:tab w:val="left" w:pos="711"/>
              </w:tabs>
              <w:kinsoku/>
              <w:wordWrap w:val="0"/>
              <w:overflowPunct/>
              <w:topLinePunct/>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丙烯酸聚氨酯面漆</w:t>
            </w:r>
          </w:p>
        </w:tc>
        <w:tc>
          <w:tcPr>
            <w:tcW w:w="2747" w:type="dxa"/>
            <w:tcBorders>
              <w:top w:val="single" w:color="auto" w:sz="4" w:space="0"/>
              <w:left w:val="single" w:color="auto" w:sz="4" w:space="0"/>
              <w:bottom w:val="single" w:color="auto" w:sz="12" w:space="0"/>
              <w:right w:val="single" w:color="auto" w:sz="12" w:space="0"/>
            </w:tcBorders>
            <w:noWrap w:val="0"/>
            <w:tcMar>
              <w:top w:w="-1" w:type="dxa"/>
              <w:left w:w="-1" w:type="dxa"/>
              <w:bottom w:w="-1" w:type="dxa"/>
              <w:right w:w="-1" w:type="dxa"/>
            </w:tcMar>
            <w:vAlign w:val="center"/>
          </w:tcPr>
          <w:p w14:paraId="29CB1015">
            <w:pPr>
              <w:keepNext w:val="0"/>
              <w:keepLines w:val="0"/>
              <w:pageBreakBefore w:val="0"/>
              <w:widowControl w:val="0"/>
              <w:tabs>
                <w:tab w:val="left" w:pos="711"/>
              </w:tabs>
              <w:kinsoku/>
              <w:wordWrap w:val="0"/>
              <w:overflowPunct/>
              <w:topLinePunct/>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1/80um</w:t>
            </w:r>
          </w:p>
        </w:tc>
      </w:tr>
    </w:tbl>
    <w:p w14:paraId="2552CF03">
      <w:pP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br w:type="page"/>
      </w:r>
    </w:p>
    <w:p w14:paraId="538F4A81">
      <w:pPr>
        <w:keepNext w:val="0"/>
        <w:keepLines w:val="0"/>
        <w:pageBreakBefore w:val="0"/>
        <w:widowControl w:val="0"/>
        <w:tabs>
          <w:tab w:val="left" w:pos="711"/>
        </w:tabs>
        <w:kinsoku/>
        <w:wordWrap w:val="0"/>
        <w:overflowPunct/>
        <w:topLinePunct/>
        <w:autoSpaceDE/>
        <w:autoSpaceDN/>
        <w:bidi w:val="0"/>
        <w:adjustRightInd/>
        <w:snapToGrid/>
        <w:spacing w:line="480" w:lineRule="auto"/>
        <w:ind w:firstLine="482" w:firstLineChars="200"/>
        <w:jc w:val="center"/>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主梁顶面涂装施工体系</w:t>
      </w:r>
    </w:p>
    <w:tbl>
      <w:tblPr>
        <w:tblStyle w:val="5"/>
        <w:tblW w:w="8519"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top w:w="0" w:type="dxa"/>
          <w:left w:w="108" w:type="dxa"/>
          <w:bottom w:w="0" w:type="dxa"/>
          <w:right w:w="108" w:type="dxa"/>
        </w:tblCellMar>
      </w:tblPr>
      <w:tblGrid>
        <w:gridCol w:w="2074"/>
        <w:gridCol w:w="1457"/>
        <w:gridCol w:w="963"/>
        <w:gridCol w:w="1704"/>
        <w:gridCol w:w="2321"/>
      </w:tblGrid>
      <w:tr w14:paraId="4CA4C47F">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567" w:hRule="atLeast"/>
          <w:jc w:val="center"/>
        </w:trPr>
        <w:tc>
          <w:tcPr>
            <w:tcW w:w="0" w:type="auto"/>
            <w:tcBorders>
              <w:top w:val="single" w:color="auto" w:sz="12" w:space="0"/>
              <w:left w:val="single" w:color="auto" w:sz="12" w:space="0"/>
              <w:bottom w:val="nil"/>
              <w:right w:val="nil"/>
            </w:tcBorders>
            <w:noWrap w:val="0"/>
            <w:tcMar>
              <w:top w:w="-1" w:type="dxa"/>
              <w:left w:w="-1" w:type="dxa"/>
              <w:bottom w:w="-1" w:type="dxa"/>
              <w:right w:w="-1" w:type="dxa"/>
            </w:tcMar>
            <w:vAlign w:val="center"/>
          </w:tcPr>
          <w:p w14:paraId="55CE321B">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表面处理</w:t>
            </w:r>
          </w:p>
        </w:tc>
        <w:tc>
          <w:tcPr>
            <w:tcW w:w="0" w:type="auto"/>
            <w:tcBorders>
              <w:top w:val="single" w:color="auto" w:sz="12" w:space="0"/>
              <w:left w:val="single" w:color="auto" w:sz="4" w:space="0"/>
              <w:bottom w:val="nil"/>
              <w:right w:val="nil"/>
            </w:tcBorders>
            <w:noWrap w:val="0"/>
            <w:tcMar>
              <w:top w:w="-1" w:type="dxa"/>
              <w:left w:w="-1" w:type="dxa"/>
              <w:bottom w:w="-1" w:type="dxa"/>
              <w:right w:w="-1" w:type="dxa"/>
            </w:tcMar>
            <w:vAlign w:val="center"/>
          </w:tcPr>
          <w:p w14:paraId="27E9A4E0">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表面粗糙度</w:t>
            </w:r>
          </w:p>
        </w:tc>
        <w:tc>
          <w:tcPr>
            <w:tcW w:w="0" w:type="auto"/>
            <w:tcBorders>
              <w:top w:val="single" w:color="auto" w:sz="12" w:space="0"/>
              <w:left w:val="single" w:color="auto" w:sz="4" w:space="0"/>
              <w:bottom w:val="nil"/>
              <w:right w:val="nil"/>
            </w:tcBorders>
            <w:noWrap w:val="0"/>
            <w:tcMar>
              <w:top w:w="-1" w:type="dxa"/>
              <w:left w:w="-1" w:type="dxa"/>
              <w:bottom w:w="-1" w:type="dxa"/>
              <w:right w:w="-1" w:type="dxa"/>
            </w:tcMar>
            <w:vAlign w:val="center"/>
          </w:tcPr>
          <w:p w14:paraId="1AFF733A">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涂层</w:t>
            </w:r>
          </w:p>
        </w:tc>
        <w:tc>
          <w:tcPr>
            <w:tcW w:w="0" w:type="auto"/>
            <w:tcBorders>
              <w:top w:val="single" w:color="auto" w:sz="12" w:space="0"/>
              <w:left w:val="single" w:color="auto" w:sz="4" w:space="0"/>
              <w:bottom w:val="nil"/>
              <w:right w:val="nil"/>
            </w:tcBorders>
            <w:noWrap w:val="0"/>
            <w:tcMar>
              <w:top w:w="-1" w:type="dxa"/>
              <w:left w:w="-1" w:type="dxa"/>
              <w:bottom w:w="-1" w:type="dxa"/>
              <w:right w:w="-1" w:type="dxa"/>
            </w:tcMar>
            <w:vAlign w:val="center"/>
          </w:tcPr>
          <w:p w14:paraId="310082F7">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涂料品种</w:t>
            </w:r>
          </w:p>
        </w:tc>
        <w:tc>
          <w:tcPr>
            <w:tcW w:w="2321" w:type="dxa"/>
            <w:tcBorders>
              <w:top w:val="single" w:color="auto" w:sz="12" w:space="0"/>
              <w:left w:val="single" w:color="auto" w:sz="4" w:space="0"/>
              <w:bottom w:val="nil"/>
              <w:right w:val="single" w:color="auto" w:sz="12" w:space="0"/>
            </w:tcBorders>
            <w:noWrap w:val="0"/>
            <w:tcMar>
              <w:top w:w="-1" w:type="dxa"/>
              <w:left w:w="-1" w:type="dxa"/>
              <w:bottom w:w="-1" w:type="dxa"/>
              <w:right w:w="-1" w:type="dxa"/>
            </w:tcMar>
            <w:vAlign w:val="center"/>
          </w:tcPr>
          <w:p w14:paraId="63BC1A98">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道数/最低干膜厚度</w:t>
            </w:r>
          </w:p>
        </w:tc>
      </w:tr>
      <w:tr w14:paraId="3FCACC3B">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567" w:hRule="atLeast"/>
          <w:jc w:val="center"/>
        </w:trPr>
        <w:tc>
          <w:tcPr>
            <w:tcW w:w="2074" w:type="dxa"/>
            <w:tcBorders>
              <w:top w:val="single" w:color="auto" w:sz="4" w:space="0"/>
              <w:left w:val="single" w:color="auto" w:sz="12" w:space="0"/>
              <w:bottom w:val="single" w:color="auto" w:sz="12" w:space="0"/>
              <w:right w:val="nil"/>
            </w:tcBorders>
            <w:noWrap w:val="0"/>
            <w:tcMar>
              <w:top w:w="-1" w:type="dxa"/>
              <w:left w:w="-1" w:type="dxa"/>
              <w:bottom w:w="-1" w:type="dxa"/>
              <w:right w:w="-1" w:type="dxa"/>
            </w:tcMar>
            <w:vAlign w:val="center"/>
          </w:tcPr>
          <w:p w14:paraId="6C16A2E0">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打磨除锈St3级</w:t>
            </w:r>
          </w:p>
        </w:tc>
        <w:tc>
          <w:tcPr>
            <w:tcW w:w="1457" w:type="dxa"/>
            <w:tcBorders>
              <w:top w:val="single" w:color="auto" w:sz="4" w:space="0"/>
              <w:left w:val="single" w:color="auto" w:sz="4" w:space="0"/>
              <w:bottom w:val="single" w:color="auto" w:sz="12" w:space="0"/>
              <w:right w:val="nil"/>
            </w:tcBorders>
            <w:noWrap w:val="0"/>
            <w:tcMar>
              <w:top w:w="-1" w:type="dxa"/>
              <w:left w:w="-1" w:type="dxa"/>
              <w:bottom w:w="-1" w:type="dxa"/>
              <w:right w:w="-1" w:type="dxa"/>
            </w:tcMar>
            <w:vAlign w:val="center"/>
          </w:tcPr>
          <w:p w14:paraId="21B06426">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40~70um</w:t>
            </w:r>
          </w:p>
        </w:tc>
        <w:tc>
          <w:tcPr>
            <w:tcW w:w="963" w:type="dxa"/>
            <w:tcBorders>
              <w:top w:val="single" w:color="auto" w:sz="4" w:space="0"/>
              <w:left w:val="single" w:color="auto" w:sz="4" w:space="0"/>
              <w:bottom w:val="single" w:color="auto" w:sz="12" w:space="0"/>
              <w:right w:val="nil"/>
            </w:tcBorders>
            <w:noWrap w:val="0"/>
            <w:tcMar>
              <w:top w:w="-1" w:type="dxa"/>
              <w:left w:w="-1" w:type="dxa"/>
              <w:bottom w:w="-1" w:type="dxa"/>
              <w:right w:w="-1" w:type="dxa"/>
            </w:tcMar>
            <w:vAlign w:val="center"/>
          </w:tcPr>
          <w:p w14:paraId="2273155A">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底涂层</w:t>
            </w:r>
          </w:p>
        </w:tc>
        <w:tc>
          <w:tcPr>
            <w:tcW w:w="1704" w:type="dxa"/>
            <w:tcBorders>
              <w:top w:val="single" w:color="auto" w:sz="4" w:space="0"/>
              <w:left w:val="single" w:color="auto" w:sz="4" w:space="0"/>
              <w:bottom w:val="single" w:color="auto" w:sz="12" w:space="0"/>
              <w:right w:val="nil"/>
            </w:tcBorders>
            <w:noWrap w:val="0"/>
            <w:tcMar>
              <w:top w:w="-1" w:type="dxa"/>
              <w:left w:w="-1" w:type="dxa"/>
              <w:bottom w:w="-1" w:type="dxa"/>
              <w:right w:w="-1" w:type="dxa"/>
            </w:tcMar>
            <w:vAlign w:val="center"/>
          </w:tcPr>
          <w:p w14:paraId="4BB9B7FF">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环氧富锌底漆</w:t>
            </w:r>
          </w:p>
        </w:tc>
        <w:tc>
          <w:tcPr>
            <w:tcW w:w="2321" w:type="dxa"/>
            <w:tcBorders>
              <w:top w:val="single" w:color="auto" w:sz="4" w:space="0"/>
              <w:left w:val="single" w:color="auto" w:sz="4" w:space="0"/>
              <w:bottom w:val="single" w:color="auto" w:sz="12" w:space="0"/>
              <w:right w:val="single" w:color="auto" w:sz="12" w:space="0"/>
            </w:tcBorders>
            <w:noWrap w:val="0"/>
            <w:tcMar>
              <w:top w:w="-1" w:type="dxa"/>
              <w:left w:w="-1" w:type="dxa"/>
              <w:bottom w:w="-1" w:type="dxa"/>
              <w:right w:w="-1" w:type="dxa"/>
            </w:tcMar>
            <w:vAlign w:val="center"/>
          </w:tcPr>
          <w:p w14:paraId="06D7CCDE">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1/80um</w:t>
            </w:r>
          </w:p>
        </w:tc>
      </w:tr>
    </w:tbl>
    <w:p w14:paraId="0F6AB9A9">
      <w:pPr>
        <w:keepNext w:val="0"/>
        <w:keepLines w:val="0"/>
        <w:pageBreakBefore w:val="0"/>
        <w:widowControl w:val="0"/>
        <w:tabs>
          <w:tab w:val="left" w:pos="711"/>
        </w:tabs>
        <w:kinsoku/>
        <w:wordWrap w:val="0"/>
        <w:overflowPunct/>
        <w:topLinePunct/>
        <w:autoSpaceDE/>
        <w:autoSpaceDN/>
        <w:bidi w:val="0"/>
        <w:adjustRightInd/>
        <w:snapToGrid/>
        <w:spacing w:line="480" w:lineRule="auto"/>
        <w:ind w:firstLine="482" w:firstLineChars="200"/>
        <w:jc w:val="center"/>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主梁外表面涂装施工体系</w:t>
      </w:r>
    </w:p>
    <w:tbl>
      <w:tblPr>
        <w:tblStyle w:val="5"/>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9"/>
        <w:gridCol w:w="1440"/>
        <w:gridCol w:w="1170"/>
        <w:gridCol w:w="2325"/>
        <w:gridCol w:w="2348"/>
      </w:tblGrid>
      <w:tr w14:paraId="325D4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1239" w:type="dxa"/>
            <w:noWrap w:val="0"/>
            <w:vAlign w:val="center"/>
          </w:tcPr>
          <w:p w14:paraId="0240559B">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表面处理</w:t>
            </w:r>
          </w:p>
        </w:tc>
        <w:tc>
          <w:tcPr>
            <w:tcW w:w="1440" w:type="dxa"/>
            <w:noWrap w:val="0"/>
            <w:vAlign w:val="center"/>
          </w:tcPr>
          <w:p w14:paraId="7BBAA213">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表面粗糙度</w:t>
            </w:r>
          </w:p>
        </w:tc>
        <w:tc>
          <w:tcPr>
            <w:tcW w:w="1170" w:type="dxa"/>
            <w:noWrap w:val="0"/>
            <w:vAlign w:val="center"/>
          </w:tcPr>
          <w:p w14:paraId="5D7CF577">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涂层</w:t>
            </w:r>
          </w:p>
        </w:tc>
        <w:tc>
          <w:tcPr>
            <w:tcW w:w="2325" w:type="dxa"/>
            <w:noWrap w:val="0"/>
            <w:vAlign w:val="center"/>
          </w:tcPr>
          <w:p w14:paraId="7E8D7C9C">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涂料品种</w:t>
            </w:r>
          </w:p>
        </w:tc>
        <w:tc>
          <w:tcPr>
            <w:tcW w:w="2348" w:type="dxa"/>
            <w:noWrap w:val="0"/>
            <w:vAlign w:val="center"/>
          </w:tcPr>
          <w:p w14:paraId="10D22269">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道数/最低干膜厚度</w:t>
            </w:r>
          </w:p>
        </w:tc>
      </w:tr>
      <w:tr w14:paraId="6462C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1239" w:type="dxa"/>
            <w:vMerge w:val="restart"/>
            <w:noWrap w:val="0"/>
            <w:vAlign w:val="center"/>
          </w:tcPr>
          <w:p w14:paraId="25A33637">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打磨除锈S13级</w:t>
            </w:r>
          </w:p>
        </w:tc>
        <w:tc>
          <w:tcPr>
            <w:tcW w:w="1440" w:type="dxa"/>
            <w:vMerge w:val="restart"/>
            <w:noWrap w:val="0"/>
            <w:vAlign w:val="center"/>
          </w:tcPr>
          <w:p w14:paraId="56B00417">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40~70um</w:t>
            </w:r>
          </w:p>
        </w:tc>
        <w:tc>
          <w:tcPr>
            <w:tcW w:w="1170" w:type="dxa"/>
            <w:noWrap w:val="0"/>
            <w:vAlign w:val="center"/>
          </w:tcPr>
          <w:p w14:paraId="305EFE29">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底涂层</w:t>
            </w:r>
          </w:p>
        </w:tc>
        <w:tc>
          <w:tcPr>
            <w:tcW w:w="2325" w:type="dxa"/>
            <w:noWrap w:val="0"/>
            <w:vAlign w:val="center"/>
          </w:tcPr>
          <w:p w14:paraId="5233A608">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环氧富锌底漆</w:t>
            </w:r>
          </w:p>
        </w:tc>
        <w:tc>
          <w:tcPr>
            <w:tcW w:w="2348" w:type="dxa"/>
            <w:noWrap w:val="0"/>
            <w:vAlign w:val="center"/>
          </w:tcPr>
          <w:p w14:paraId="5BFB3248">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1/80um</w:t>
            </w:r>
          </w:p>
        </w:tc>
      </w:tr>
      <w:tr w14:paraId="2F5B1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1239" w:type="dxa"/>
            <w:vMerge w:val="continue"/>
            <w:noWrap w:val="0"/>
            <w:vAlign w:val="center"/>
          </w:tcPr>
          <w:p w14:paraId="137E9C1A">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440" w:type="dxa"/>
            <w:vMerge w:val="continue"/>
            <w:noWrap w:val="0"/>
            <w:vAlign w:val="center"/>
          </w:tcPr>
          <w:p w14:paraId="0D3D9EF0">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170" w:type="dxa"/>
            <w:noWrap w:val="0"/>
            <w:vAlign w:val="center"/>
          </w:tcPr>
          <w:p w14:paraId="31B06A0F">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中间漆</w:t>
            </w:r>
          </w:p>
        </w:tc>
        <w:tc>
          <w:tcPr>
            <w:tcW w:w="2325" w:type="dxa"/>
            <w:noWrap w:val="0"/>
            <w:vAlign w:val="center"/>
          </w:tcPr>
          <w:p w14:paraId="023C5A6F">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环氧(云铁)漆</w:t>
            </w:r>
          </w:p>
        </w:tc>
        <w:tc>
          <w:tcPr>
            <w:tcW w:w="2348" w:type="dxa"/>
            <w:noWrap w:val="0"/>
            <w:vAlign w:val="center"/>
          </w:tcPr>
          <w:p w14:paraId="186EE8D4">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(1~2) /140um</w:t>
            </w:r>
          </w:p>
        </w:tc>
      </w:tr>
      <w:tr w14:paraId="556CB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1239" w:type="dxa"/>
            <w:vMerge w:val="continue"/>
            <w:noWrap w:val="0"/>
            <w:vAlign w:val="center"/>
          </w:tcPr>
          <w:p w14:paraId="312AD037">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440" w:type="dxa"/>
            <w:vMerge w:val="continue"/>
            <w:noWrap w:val="0"/>
            <w:vAlign w:val="center"/>
          </w:tcPr>
          <w:p w14:paraId="674C7C33">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170" w:type="dxa"/>
            <w:noWrap w:val="0"/>
            <w:vAlign w:val="center"/>
          </w:tcPr>
          <w:p w14:paraId="5127D3E0">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面漆</w:t>
            </w:r>
          </w:p>
        </w:tc>
        <w:tc>
          <w:tcPr>
            <w:tcW w:w="2325" w:type="dxa"/>
            <w:noWrap w:val="0"/>
            <w:vAlign w:val="center"/>
          </w:tcPr>
          <w:p w14:paraId="4896333D">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丙烯酸聚氨脂面漆</w:t>
            </w:r>
          </w:p>
        </w:tc>
        <w:tc>
          <w:tcPr>
            <w:tcW w:w="2348" w:type="dxa"/>
            <w:noWrap w:val="0"/>
            <w:vAlign w:val="center"/>
          </w:tcPr>
          <w:p w14:paraId="60015252">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1/40um</w:t>
            </w:r>
          </w:p>
        </w:tc>
      </w:tr>
      <w:tr w14:paraId="36BE8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1239" w:type="dxa"/>
            <w:vMerge w:val="continue"/>
            <w:noWrap w:val="0"/>
            <w:vAlign w:val="center"/>
          </w:tcPr>
          <w:p w14:paraId="5AF6FD95">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440" w:type="dxa"/>
            <w:vMerge w:val="continue"/>
            <w:noWrap w:val="0"/>
            <w:vAlign w:val="center"/>
          </w:tcPr>
          <w:p w14:paraId="58A85B2E">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170" w:type="dxa"/>
            <w:noWrap w:val="0"/>
            <w:vAlign w:val="center"/>
          </w:tcPr>
          <w:p w14:paraId="512F418B">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面漆</w:t>
            </w:r>
          </w:p>
        </w:tc>
        <w:tc>
          <w:tcPr>
            <w:tcW w:w="2325" w:type="dxa"/>
            <w:noWrap w:val="0"/>
            <w:vAlign w:val="center"/>
          </w:tcPr>
          <w:p w14:paraId="27920A2C">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氟碳面漆</w:t>
            </w:r>
          </w:p>
        </w:tc>
        <w:tc>
          <w:tcPr>
            <w:tcW w:w="2348" w:type="dxa"/>
            <w:noWrap w:val="0"/>
            <w:vAlign w:val="center"/>
          </w:tcPr>
          <w:p w14:paraId="7388B031">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1/40um</w:t>
            </w:r>
          </w:p>
        </w:tc>
      </w:tr>
    </w:tbl>
    <w:p w14:paraId="56FB4013">
      <w:pPr>
        <w:keepNext w:val="0"/>
        <w:keepLines w:val="0"/>
        <w:pageBreakBefore w:val="0"/>
        <w:widowControl w:val="0"/>
        <w:tabs>
          <w:tab w:val="left" w:pos="711"/>
        </w:tabs>
        <w:kinsoku/>
        <w:wordWrap w:val="0"/>
        <w:overflowPunct/>
        <w:topLinePunct/>
        <w:autoSpaceDE/>
        <w:autoSpaceDN/>
        <w:bidi w:val="0"/>
        <w:adjustRightInd/>
        <w:snapToGrid/>
        <w:spacing w:line="480" w:lineRule="auto"/>
        <w:ind w:firstLine="482" w:firstLineChars="200"/>
        <w:jc w:val="center"/>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梯道钢板、护栏涂装施工体系</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4"/>
        <w:gridCol w:w="1425"/>
        <w:gridCol w:w="1170"/>
        <w:gridCol w:w="2340"/>
        <w:gridCol w:w="2333"/>
      </w:tblGrid>
      <w:tr w14:paraId="39343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1254" w:type="dxa"/>
            <w:noWrap w:val="0"/>
            <w:vAlign w:val="center"/>
          </w:tcPr>
          <w:p w14:paraId="1A73ABD9">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表面处理</w:t>
            </w:r>
          </w:p>
        </w:tc>
        <w:tc>
          <w:tcPr>
            <w:tcW w:w="1425" w:type="dxa"/>
            <w:noWrap w:val="0"/>
            <w:vAlign w:val="center"/>
          </w:tcPr>
          <w:p w14:paraId="24306CAD">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表面粗糙度</w:t>
            </w:r>
          </w:p>
        </w:tc>
        <w:tc>
          <w:tcPr>
            <w:tcW w:w="1170" w:type="dxa"/>
            <w:noWrap w:val="0"/>
            <w:vAlign w:val="center"/>
          </w:tcPr>
          <w:p w14:paraId="0FFCC2DC">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涂层</w:t>
            </w:r>
          </w:p>
        </w:tc>
        <w:tc>
          <w:tcPr>
            <w:tcW w:w="2340" w:type="dxa"/>
            <w:noWrap w:val="0"/>
            <w:vAlign w:val="center"/>
          </w:tcPr>
          <w:p w14:paraId="75E12BE9">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涂料品种</w:t>
            </w:r>
          </w:p>
        </w:tc>
        <w:tc>
          <w:tcPr>
            <w:tcW w:w="2333" w:type="dxa"/>
            <w:noWrap w:val="0"/>
            <w:vAlign w:val="center"/>
          </w:tcPr>
          <w:p w14:paraId="2A8FE9CD">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道数/最低干膜厚度</w:t>
            </w:r>
          </w:p>
        </w:tc>
      </w:tr>
      <w:tr w14:paraId="0E30D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54" w:type="dxa"/>
            <w:vMerge w:val="restart"/>
            <w:noWrap w:val="0"/>
            <w:vAlign w:val="center"/>
          </w:tcPr>
          <w:p w14:paraId="0BF9E0BE">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打磨除锈S13级</w:t>
            </w:r>
          </w:p>
        </w:tc>
        <w:tc>
          <w:tcPr>
            <w:tcW w:w="1425" w:type="dxa"/>
            <w:vMerge w:val="restart"/>
            <w:noWrap w:val="0"/>
            <w:vAlign w:val="center"/>
          </w:tcPr>
          <w:p w14:paraId="3782452C">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40~70um</w:t>
            </w:r>
          </w:p>
        </w:tc>
        <w:tc>
          <w:tcPr>
            <w:tcW w:w="1170" w:type="dxa"/>
            <w:noWrap w:val="0"/>
            <w:vAlign w:val="center"/>
          </w:tcPr>
          <w:p w14:paraId="72D6AEF7">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底涂层</w:t>
            </w:r>
          </w:p>
        </w:tc>
        <w:tc>
          <w:tcPr>
            <w:tcW w:w="2340" w:type="dxa"/>
            <w:noWrap w:val="0"/>
            <w:vAlign w:val="center"/>
          </w:tcPr>
          <w:p w14:paraId="0567E35E">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环氧富锌底漆</w:t>
            </w:r>
          </w:p>
        </w:tc>
        <w:tc>
          <w:tcPr>
            <w:tcW w:w="2333" w:type="dxa"/>
            <w:noWrap w:val="0"/>
            <w:vAlign w:val="center"/>
          </w:tcPr>
          <w:p w14:paraId="15673FDA">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1/80um</w:t>
            </w:r>
          </w:p>
        </w:tc>
      </w:tr>
      <w:tr w14:paraId="1F1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54" w:type="dxa"/>
            <w:vMerge w:val="continue"/>
            <w:noWrap w:val="0"/>
            <w:vAlign w:val="top"/>
          </w:tcPr>
          <w:p w14:paraId="5931448A">
            <w:pPr>
              <w:keepNext w:val="0"/>
              <w:keepLines w:val="0"/>
              <w:pageBreakBefore w:val="0"/>
              <w:widowControl w:val="0"/>
              <w:tabs>
                <w:tab w:val="left" w:pos="711"/>
              </w:tabs>
              <w:kinsoku/>
              <w:wordWrap w:val="0"/>
              <w:overflowPunct/>
              <w:topLinePunct/>
              <w:autoSpaceDE/>
              <w:autoSpaceDN/>
              <w:bidi w:val="0"/>
              <w:adjustRightInd/>
              <w:snapToGrid/>
              <w:spacing w:line="480" w:lineRule="auto"/>
              <w:jc w:val="left"/>
              <w:textAlignment w:val="auto"/>
              <w:rPr>
                <w:rFonts w:hint="eastAsia" w:ascii="宋体" w:hAnsi="宋体" w:eastAsia="宋体" w:cs="宋体"/>
                <w:b/>
                <w:bCs/>
                <w:color w:val="auto"/>
                <w:sz w:val="24"/>
                <w:szCs w:val="24"/>
                <w:vertAlign w:val="baseline"/>
                <w:lang w:val="en-US" w:eastAsia="zh-CN"/>
              </w:rPr>
            </w:pPr>
          </w:p>
        </w:tc>
        <w:tc>
          <w:tcPr>
            <w:tcW w:w="1425" w:type="dxa"/>
            <w:vMerge w:val="continue"/>
            <w:noWrap w:val="0"/>
            <w:vAlign w:val="top"/>
          </w:tcPr>
          <w:p w14:paraId="7F9570E4">
            <w:pPr>
              <w:keepNext w:val="0"/>
              <w:keepLines w:val="0"/>
              <w:pageBreakBefore w:val="0"/>
              <w:widowControl w:val="0"/>
              <w:tabs>
                <w:tab w:val="left" w:pos="711"/>
              </w:tabs>
              <w:kinsoku/>
              <w:wordWrap w:val="0"/>
              <w:overflowPunct/>
              <w:topLinePunct/>
              <w:autoSpaceDE/>
              <w:autoSpaceDN/>
              <w:bidi w:val="0"/>
              <w:adjustRightInd/>
              <w:snapToGrid/>
              <w:spacing w:line="480" w:lineRule="auto"/>
              <w:jc w:val="left"/>
              <w:textAlignment w:val="auto"/>
              <w:rPr>
                <w:rFonts w:hint="eastAsia" w:ascii="宋体" w:hAnsi="宋体" w:eastAsia="宋体" w:cs="宋体"/>
                <w:b/>
                <w:bCs/>
                <w:color w:val="auto"/>
                <w:sz w:val="24"/>
                <w:szCs w:val="24"/>
                <w:vertAlign w:val="baseline"/>
                <w:lang w:val="en-US" w:eastAsia="zh-CN"/>
              </w:rPr>
            </w:pPr>
          </w:p>
        </w:tc>
        <w:tc>
          <w:tcPr>
            <w:tcW w:w="1170" w:type="dxa"/>
            <w:noWrap w:val="0"/>
            <w:vAlign w:val="center"/>
          </w:tcPr>
          <w:p w14:paraId="4B1B1D42">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中间漆</w:t>
            </w:r>
          </w:p>
        </w:tc>
        <w:tc>
          <w:tcPr>
            <w:tcW w:w="2340" w:type="dxa"/>
            <w:noWrap w:val="0"/>
            <w:vAlign w:val="center"/>
          </w:tcPr>
          <w:p w14:paraId="69C2846A">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环氧(云铁)漆</w:t>
            </w:r>
          </w:p>
        </w:tc>
        <w:tc>
          <w:tcPr>
            <w:tcW w:w="2333" w:type="dxa"/>
            <w:noWrap w:val="0"/>
            <w:vAlign w:val="center"/>
          </w:tcPr>
          <w:p w14:paraId="073A9E52">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(1~2) /140um</w:t>
            </w:r>
          </w:p>
        </w:tc>
      </w:tr>
      <w:tr w14:paraId="3A1CD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54" w:type="dxa"/>
            <w:vMerge w:val="continue"/>
            <w:noWrap w:val="0"/>
            <w:vAlign w:val="top"/>
          </w:tcPr>
          <w:p w14:paraId="51854A95">
            <w:pPr>
              <w:keepNext w:val="0"/>
              <w:keepLines w:val="0"/>
              <w:pageBreakBefore w:val="0"/>
              <w:widowControl w:val="0"/>
              <w:tabs>
                <w:tab w:val="left" w:pos="711"/>
              </w:tabs>
              <w:kinsoku/>
              <w:wordWrap w:val="0"/>
              <w:overflowPunct/>
              <w:topLinePunct/>
              <w:autoSpaceDE/>
              <w:autoSpaceDN/>
              <w:bidi w:val="0"/>
              <w:adjustRightInd/>
              <w:snapToGrid/>
              <w:spacing w:line="480" w:lineRule="auto"/>
              <w:jc w:val="left"/>
              <w:textAlignment w:val="auto"/>
              <w:rPr>
                <w:rFonts w:hint="eastAsia" w:ascii="宋体" w:hAnsi="宋体" w:eastAsia="宋体" w:cs="宋体"/>
                <w:b/>
                <w:bCs/>
                <w:color w:val="auto"/>
                <w:sz w:val="24"/>
                <w:szCs w:val="24"/>
                <w:vertAlign w:val="baseline"/>
                <w:lang w:val="en-US" w:eastAsia="zh-CN"/>
              </w:rPr>
            </w:pPr>
          </w:p>
        </w:tc>
        <w:tc>
          <w:tcPr>
            <w:tcW w:w="1425" w:type="dxa"/>
            <w:vMerge w:val="continue"/>
            <w:noWrap w:val="0"/>
            <w:vAlign w:val="top"/>
          </w:tcPr>
          <w:p w14:paraId="7A580D72">
            <w:pPr>
              <w:keepNext w:val="0"/>
              <w:keepLines w:val="0"/>
              <w:pageBreakBefore w:val="0"/>
              <w:widowControl w:val="0"/>
              <w:tabs>
                <w:tab w:val="left" w:pos="711"/>
              </w:tabs>
              <w:kinsoku/>
              <w:wordWrap w:val="0"/>
              <w:overflowPunct/>
              <w:topLinePunct/>
              <w:autoSpaceDE/>
              <w:autoSpaceDN/>
              <w:bidi w:val="0"/>
              <w:adjustRightInd/>
              <w:snapToGrid/>
              <w:spacing w:line="480" w:lineRule="auto"/>
              <w:jc w:val="left"/>
              <w:textAlignment w:val="auto"/>
              <w:rPr>
                <w:rFonts w:hint="eastAsia" w:ascii="宋体" w:hAnsi="宋体" w:eastAsia="宋体" w:cs="宋体"/>
                <w:b/>
                <w:bCs/>
                <w:color w:val="auto"/>
                <w:sz w:val="24"/>
                <w:szCs w:val="24"/>
                <w:vertAlign w:val="baseline"/>
                <w:lang w:val="en-US" w:eastAsia="zh-CN"/>
              </w:rPr>
            </w:pPr>
          </w:p>
        </w:tc>
        <w:tc>
          <w:tcPr>
            <w:tcW w:w="1170" w:type="dxa"/>
            <w:noWrap w:val="0"/>
            <w:vAlign w:val="center"/>
          </w:tcPr>
          <w:p w14:paraId="22C703A9">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面漆</w:t>
            </w:r>
          </w:p>
        </w:tc>
        <w:tc>
          <w:tcPr>
            <w:tcW w:w="2340" w:type="dxa"/>
            <w:noWrap w:val="0"/>
            <w:vAlign w:val="center"/>
          </w:tcPr>
          <w:p w14:paraId="67D6EA5C">
            <w:pPr>
              <w:keepNext w:val="0"/>
              <w:keepLines w:val="0"/>
              <w:pageBreakBefore w:val="0"/>
              <w:widowControl w:val="0"/>
              <w:tabs>
                <w:tab w:val="left" w:pos="711"/>
              </w:tabs>
              <w:kinsoku/>
              <w:wordWrap w:val="0"/>
              <w:overflowPunct/>
              <w:topLinePunct/>
              <w:autoSpaceDE/>
              <w:autoSpaceDN/>
              <w:bidi w:val="0"/>
              <w:adjustRightInd/>
              <w:snapToGrid w:val="0"/>
              <w:spacing w:line="240" w:lineRule="auto"/>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丙烯酸聚氨脂面漆</w:t>
            </w:r>
          </w:p>
        </w:tc>
        <w:tc>
          <w:tcPr>
            <w:tcW w:w="2333" w:type="dxa"/>
            <w:noWrap w:val="0"/>
            <w:vAlign w:val="top"/>
          </w:tcPr>
          <w:p w14:paraId="07DC46B5">
            <w:pPr>
              <w:keepNext w:val="0"/>
              <w:keepLines w:val="0"/>
              <w:pageBreakBefore w:val="0"/>
              <w:widowControl w:val="0"/>
              <w:tabs>
                <w:tab w:val="left" w:pos="711"/>
              </w:tabs>
              <w:kinsoku/>
              <w:wordWrap w:val="0"/>
              <w:overflowPunct/>
              <w:topLinePunct/>
              <w:autoSpaceDE/>
              <w:autoSpaceDN/>
              <w:bidi w:val="0"/>
              <w:adjustRightInd/>
              <w:snapToGrid/>
              <w:spacing w:line="480" w:lineRule="auto"/>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2/80um</w:t>
            </w:r>
          </w:p>
        </w:tc>
      </w:tr>
    </w:tbl>
    <w:p w14:paraId="33844DA1">
      <w:pPr>
        <w:keepNext w:val="0"/>
        <w:keepLines w:val="0"/>
        <w:pageBreakBefore w:val="0"/>
        <w:widowControl w:val="0"/>
        <w:tabs>
          <w:tab w:val="left" w:pos="711"/>
        </w:tabs>
        <w:kinsoku/>
        <w:wordWrap w:val="0"/>
        <w:overflowPunct/>
        <w:topLinePunct/>
        <w:autoSpaceDE/>
        <w:autoSpaceDN/>
        <w:bidi w:val="0"/>
        <w:adjustRightInd/>
        <w:snapToGrid/>
        <w:spacing w:line="480" w:lineRule="auto"/>
        <w:ind w:firstLine="482" w:firstLineChars="20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11.局部破损维修施工工艺</w:t>
      </w:r>
    </w:p>
    <w:p w14:paraId="6CBDC51C">
      <w:pPr>
        <w:keepNext w:val="0"/>
        <w:keepLines w:val="0"/>
        <w:pageBreakBefore w:val="0"/>
        <w:widowControl w:val="0"/>
        <w:tabs>
          <w:tab w:val="left" w:pos="711"/>
        </w:tabs>
        <w:kinsoku/>
        <w:wordWrap w:val="0"/>
        <w:overflowPunct/>
        <w:topLinePunct/>
        <w:autoSpaceDE/>
        <w:autoSpaceDN/>
        <w:bidi w:val="0"/>
        <w:adjustRightInd/>
        <w:snapToGrid/>
        <w:spacing w:line="480" w:lineRule="auto"/>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砼涂装有破损的，按现有原涂装厚度及材料恢复即可。</w:t>
      </w:r>
    </w:p>
    <w:p w14:paraId="0FEE790C">
      <w:pPr>
        <w:keepNext w:val="0"/>
        <w:keepLines w:val="0"/>
        <w:pageBreakBefore w:val="0"/>
        <w:widowControl w:val="0"/>
        <w:tabs>
          <w:tab w:val="left" w:pos="711"/>
        </w:tabs>
        <w:kinsoku/>
        <w:wordWrap w:val="0"/>
        <w:overflowPunct/>
        <w:topLinePunct/>
        <w:autoSpaceDE/>
        <w:autoSpaceDN/>
        <w:bidi w:val="0"/>
        <w:adjustRightInd/>
        <w:snapToGrid/>
        <w:spacing w:line="480" w:lineRule="auto"/>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主要施工工艺为：将混凝土表面凿毛，并露出混凝土坚硬部分，表面的松散层、附着物、油污、灰尘等应清洗干净；在混凝土表面涂刷混凝土复合界面剂（界面剂须与修补材料匹配）；按现有涂装厚度及材料进行修补，并按产品要求进行养护。</w:t>
      </w:r>
    </w:p>
    <w:p w14:paraId="7B14A906">
      <w:pPr>
        <w:keepNext w:val="0"/>
        <w:keepLines w:val="0"/>
        <w:pageBreakBefore w:val="0"/>
        <w:widowControl w:val="0"/>
        <w:tabs>
          <w:tab w:val="left" w:pos="711"/>
        </w:tabs>
        <w:kinsoku/>
        <w:wordWrap w:val="0"/>
        <w:overflowPunct/>
        <w:topLinePunct/>
        <w:autoSpaceDE/>
        <w:autoSpaceDN/>
        <w:bidi w:val="0"/>
        <w:adjustRightInd/>
        <w:snapToGrid/>
        <w:spacing w:line="480" w:lineRule="auto"/>
        <w:ind w:firstLine="482" w:firstLineChars="20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（四）人员要求</w:t>
      </w:r>
    </w:p>
    <w:p w14:paraId="0AD7DEFB">
      <w:pPr>
        <w:keepNext w:val="0"/>
        <w:keepLines w:val="0"/>
        <w:pageBreakBefore w:val="0"/>
        <w:widowControl w:val="0"/>
        <w:tabs>
          <w:tab w:val="left" w:pos="711"/>
        </w:tabs>
        <w:kinsoku/>
        <w:wordWrap/>
        <w:overflowPunct/>
        <w:topLinePunct w:val="0"/>
        <w:autoSpaceDE/>
        <w:autoSpaceDN/>
        <w:bidi w:val="0"/>
        <w:adjustRightInd/>
        <w:snapToGrid/>
        <w:spacing w:line="480" w:lineRule="auto"/>
        <w:ind w:firstLine="482" w:firstLineChars="20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kern w:val="2"/>
          <w:sz w:val="24"/>
          <w:szCs w:val="24"/>
          <w:lang w:val="en-US" w:eastAsia="zh-CN" w:bidi="ar-SA"/>
        </w:rPr>
        <w:t>1.供应商须配备不少于7人的项目团队，</w:t>
      </w:r>
      <w:r>
        <w:rPr>
          <w:rFonts w:hint="eastAsia" w:ascii="宋体" w:hAnsi="宋体" w:eastAsia="宋体" w:cs="宋体"/>
          <w:b/>
          <w:bCs/>
          <w:color w:val="auto"/>
          <w:sz w:val="24"/>
          <w:szCs w:val="24"/>
          <w:lang w:val="en-US" w:eastAsia="zh-CN"/>
        </w:rPr>
        <w:t>其中：项目负责人1人。供应商组建的服务团队人员年龄应在18周岁及以上。能胜任服务岗位需要，且身体健康，无影响行为能力的疾病</w:t>
      </w:r>
      <w:r>
        <w:rPr>
          <w:rFonts w:hint="eastAsia" w:ascii="宋体" w:hAnsi="宋体" w:eastAsia="宋体" w:cs="宋体"/>
          <w:b/>
          <w:bCs/>
          <w:sz w:val="24"/>
          <w:szCs w:val="24"/>
          <w:lang w:val="en-US" w:eastAsia="zh-CN"/>
        </w:rPr>
        <w:t>。（供应商须提供承诺函）</w:t>
      </w:r>
    </w:p>
    <w:p w14:paraId="1C4A453A">
      <w:pPr>
        <w:keepNext w:val="0"/>
        <w:keepLines w:val="0"/>
        <w:pageBreakBefore w:val="0"/>
        <w:widowControl w:val="0"/>
        <w:tabs>
          <w:tab w:val="left" w:pos="711"/>
        </w:tabs>
        <w:kinsoku/>
        <w:wordWrap/>
        <w:overflowPunct/>
        <w:topLinePunct w:val="0"/>
        <w:autoSpaceDE/>
        <w:autoSpaceDN/>
        <w:bidi w:val="0"/>
        <w:adjustRightInd/>
        <w:snapToGrid/>
        <w:spacing w:line="480" w:lineRule="auto"/>
        <w:ind w:firstLine="482"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b/>
          <w:bCs/>
          <w:sz w:val="24"/>
          <w:szCs w:val="24"/>
          <w:lang w:val="en-US" w:eastAsia="zh-CN"/>
        </w:rPr>
        <w:t>★</w:t>
      </w:r>
      <w:r>
        <w:rPr>
          <w:rFonts w:hint="eastAsia" w:ascii="宋体" w:hAnsi="宋体" w:eastAsia="宋体" w:cs="宋体"/>
          <w:kern w:val="2"/>
          <w:sz w:val="24"/>
          <w:szCs w:val="24"/>
          <w:lang w:val="en-US" w:eastAsia="zh-CN" w:bidi="ar-SA"/>
        </w:rPr>
        <w:t>2.</w:t>
      </w:r>
      <w:r>
        <w:rPr>
          <w:rFonts w:hint="eastAsia" w:ascii="宋体" w:hAnsi="宋体" w:eastAsia="宋体" w:cs="宋体"/>
          <w:b/>
          <w:bCs/>
          <w:sz w:val="24"/>
          <w:szCs w:val="24"/>
          <w:lang w:val="en-US" w:eastAsia="zh-CN"/>
        </w:rPr>
        <w:t>供应商不得擅自更换拟派项目负责人。特殊情况下可以用同等资历的人员代替，但更换前必须先征得采购人的同意。采购人有权要求供应商更换不能胜任或不符合要求的人员，供应商应接受并在10个工作日内完成调整。（供应商须提供承诺函）</w:t>
      </w:r>
    </w:p>
    <w:p w14:paraId="454913A4">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outlineLvl w:val="9"/>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zh-CN" w:eastAsia="zh-CN" w:bidi="ar-SA"/>
        </w:rPr>
        <w:t>（</w:t>
      </w:r>
      <w:r>
        <w:rPr>
          <w:rFonts w:hint="eastAsia" w:ascii="宋体" w:hAnsi="宋体" w:eastAsia="宋体" w:cs="宋体"/>
          <w:b/>
          <w:bCs/>
          <w:kern w:val="2"/>
          <w:sz w:val="24"/>
          <w:szCs w:val="24"/>
          <w:lang w:val="en-US" w:eastAsia="zh-CN" w:bidi="ar-SA"/>
        </w:rPr>
        <w:t>五</w:t>
      </w:r>
      <w:r>
        <w:rPr>
          <w:rFonts w:hint="eastAsia" w:ascii="宋体" w:hAnsi="宋体" w:eastAsia="宋体" w:cs="宋体"/>
          <w:b/>
          <w:bCs/>
          <w:kern w:val="2"/>
          <w:sz w:val="24"/>
          <w:szCs w:val="24"/>
          <w:lang w:val="zh-CN" w:eastAsia="zh-CN" w:bidi="ar-SA"/>
        </w:rPr>
        <w:t>）</w:t>
      </w:r>
      <w:r>
        <w:rPr>
          <w:rFonts w:hint="eastAsia" w:ascii="宋体" w:hAnsi="宋体" w:eastAsia="宋体" w:cs="宋体"/>
          <w:b/>
          <w:bCs/>
          <w:kern w:val="2"/>
          <w:sz w:val="24"/>
          <w:szCs w:val="24"/>
          <w:lang w:val="en-US" w:eastAsia="zh-CN" w:bidi="ar-SA"/>
        </w:rPr>
        <w:t>其他要求</w:t>
      </w:r>
    </w:p>
    <w:p w14:paraId="751BE635">
      <w:pPr>
        <w:keepNext w:val="0"/>
        <w:keepLines w:val="0"/>
        <w:widowControl w:val="0"/>
        <w:suppressLineNumbers w:val="0"/>
        <w:spacing w:line="480" w:lineRule="auto"/>
        <w:ind w:firstLine="482" w:firstLineChars="20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1.施工安全措施</w:t>
      </w:r>
    </w:p>
    <w:p w14:paraId="4DDCADE2">
      <w:pPr>
        <w:keepNext w:val="0"/>
        <w:keepLines w:val="0"/>
        <w:widowControl w:val="0"/>
        <w:suppressLineNumbers w:val="0"/>
        <w:spacing w:line="48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1.1桥梁维修施工，必须严格遵守安全操作规程，建立健全安全生产管理制度。 </w:t>
      </w:r>
    </w:p>
    <w:p w14:paraId="70924DD3">
      <w:pPr>
        <w:keepNext w:val="0"/>
        <w:keepLines w:val="0"/>
        <w:widowControl w:val="0"/>
        <w:suppressLineNumbers w:val="0"/>
        <w:spacing w:line="48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1.2桥梁维修施工宜在晴天或白天进行，对于不受雨天影响的部位可在雨天进行作业，否则应采取防雨、防湿、防滑等保障措施。夜间施工应保证作业区照明效果良好，并设置管制设施,保证夜间施工及交通安全。 </w:t>
      </w:r>
    </w:p>
    <w:p w14:paraId="58CAD36C">
      <w:pPr>
        <w:keepNext w:val="0"/>
        <w:keepLines w:val="0"/>
        <w:widowControl w:val="0"/>
        <w:suppressLineNumbers w:val="0"/>
        <w:spacing w:line="48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1.3本项目使用了化学胶粘剂、环氧材料等，材料易于燃烧。在施工时要从使用环境、储存环境等方面严加控制，以保证施工、使用安全。 </w:t>
      </w:r>
    </w:p>
    <w:p w14:paraId="7CA589E5">
      <w:pPr>
        <w:keepNext w:val="0"/>
        <w:keepLines w:val="0"/>
        <w:widowControl w:val="0"/>
        <w:suppressLineNumbers w:val="0"/>
        <w:spacing w:line="480" w:lineRule="auto"/>
        <w:ind w:firstLine="480" w:firstLineChars="200"/>
        <w:jc w:val="left"/>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val="en-US" w:eastAsia="zh-CN" w:bidi="ar"/>
        </w:rPr>
        <w:t xml:space="preserve">（1）施工必须在5℃以上环境温度条件下进行，并应符合各种施工材料的使用温度。 </w:t>
      </w:r>
    </w:p>
    <w:p w14:paraId="7E1C0C4D">
      <w:pPr>
        <w:keepNext w:val="0"/>
        <w:keepLines w:val="0"/>
        <w:widowControl w:val="0"/>
        <w:suppressLineNumbers w:val="0"/>
        <w:spacing w:line="480" w:lineRule="auto"/>
        <w:ind w:firstLine="480" w:firstLineChars="200"/>
        <w:jc w:val="left"/>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val="en-US" w:eastAsia="zh-CN" w:bidi="ar"/>
        </w:rPr>
        <w:t xml:space="preserve">（2）化学材料为易燃品，应密闭储存，远离火源。 </w:t>
      </w:r>
    </w:p>
    <w:p w14:paraId="71433FFA">
      <w:pPr>
        <w:keepNext w:val="0"/>
        <w:keepLines w:val="0"/>
        <w:widowControl w:val="0"/>
        <w:suppressLineNumbers w:val="0"/>
        <w:spacing w:line="480" w:lineRule="auto"/>
        <w:ind w:firstLine="480" w:firstLineChars="200"/>
        <w:jc w:val="left"/>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val="en-US" w:eastAsia="zh-CN" w:bidi="ar"/>
        </w:rPr>
        <w:t xml:space="preserve">（3）在配置及使用现场，必须通风良好，操作人员应做好防护，严禁在现场进餐。 </w:t>
      </w:r>
    </w:p>
    <w:p w14:paraId="7EBAA4EC">
      <w:pPr>
        <w:keepNext w:val="0"/>
        <w:keepLines w:val="0"/>
        <w:widowControl w:val="0"/>
        <w:suppressLineNumbers w:val="0"/>
        <w:spacing w:line="480" w:lineRule="auto"/>
        <w:ind w:firstLine="480" w:firstLineChars="200"/>
        <w:jc w:val="left"/>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val="en-US" w:eastAsia="zh-CN" w:bidi="ar"/>
        </w:rPr>
        <w:t>（4）工作场地严禁烟火，并必须配备消防设施。</w:t>
      </w:r>
    </w:p>
    <w:p w14:paraId="6A9EF339">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outlineLvl w:val="9"/>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2.施工期间的交通组织</w:t>
      </w:r>
    </w:p>
    <w:p w14:paraId="35FA72EA">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b w:val="0"/>
          <w:bCs w:val="0"/>
          <w:kern w:val="2"/>
          <w:sz w:val="24"/>
          <w:szCs w:val="24"/>
          <w:lang w:val="zh-CN" w:eastAsia="zh-CN" w:bidi="ar-SA"/>
        </w:rPr>
      </w:pPr>
      <w:r>
        <w:rPr>
          <w:rFonts w:hint="eastAsia" w:ascii="宋体" w:hAnsi="宋体" w:eastAsia="宋体" w:cs="宋体"/>
          <w:b w:val="0"/>
          <w:bCs w:val="0"/>
          <w:kern w:val="2"/>
          <w:sz w:val="24"/>
          <w:szCs w:val="24"/>
          <w:lang w:val="en-US" w:eastAsia="zh-CN" w:bidi="ar-SA"/>
        </w:rPr>
        <w:t>根据施工进展，做好防护和提醒标志，关键环节施工时封闭地面局部交通，并派专人值守。</w:t>
      </w:r>
    </w:p>
    <w:p w14:paraId="084C8A1C">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outlineLvl w:val="9"/>
        <w:rPr>
          <w:rFonts w:hint="eastAsia" w:ascii="宋体" w:hAnsi="宋体" w:eastAsia="宋体" w:cs="宋体"/>
          <w:b/>
          <w:bCs/>
          <w:color w:val="auto"/>
          <w:kern w:val="2"/>
          <w:sz w:val="24"/>
          <w:szCs w:val="24"/>
          <w:highlight w:val="none"/>
          <w:lang w:val="en-US" w:eastAsia="zh-CN" w:bidi="ar-SA"/>
        </w:rPr>
      </w:pPr>
      <w:bookmarkStart w:id="86" w:name="_Toc11165"/>
      <w:bookmarkStart w:id="87" w:name="_Toc900"/>
      <w:bookmarkStart w:id="88" w:name="_Toc20981"/>
      <w:bookmarkStart w:id="89" w:name="_Toc31631"/>
      <w:bookmarkStart w:id="90" w:name="_Toc4448"/>
      <w:bookmarkStart w:id="91" w:name="_Toc12012"/>
      <w:bookmarkStart w:id="92" w:name="_Toc10999"/>
      <w:bookmarkStart w:id="93" w:name="_Toc4858"/>
      <w:r>
        <w:rPr>
          <w:rFonts w:hint="eastAsia" w:ascii="宋体" w:hAnsi="宋体" w:eastAsia="宋体" w:cs="宋体"/>
          <w:b/>
          <w:bCs/>
          <w:kern w:val="2"/>
          <w:sz w:val="24"/>
          <w:szCs w:val="24"/>
          <w:highlight w:val="none"/>
          <w:lang w:val="en-US" w:eastAsia="zh-CN" w:bidi="ar-SA"/>
        </w:rPr>
        <w:t>3.</w:t>
      </w:r>
      <w:r>
        <w:rPr>
          <w:rFonts w:hint="eastAsia" w:ascii="宋体" w:hAnsi="宋体" w:eastAsia="宋体" w:cs="宋体"/>
          <w:b/>
          <w:bCs/>
          <w:color w:val="auto"/>
          <w:kern w:val="2"/>
          <w:sz w:val="24"/>
          <w:szCs w:val="24"/>
          <w:highlight w:val="none"/>
          <w:lang w:val="en-US" w:eastAsia="zh-CN" w:bidi="ar-SA"/>
        </w:rPr>
        <w:t>施工注意事项</w:t>
      </w:r>
    </w:p>
    <w:p w14:paraId="23BFD961">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outlineLvl w:val="9"/>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3.1</w:t>
      </w:r>
      <w:r>
        <w:rPr>
          <w:rFonts w:hint="eastAsia" w:ascii="宋体" w:hAnsi="宋体" w:eastAsia="宋体" w:cs="宋体"/>
          <w:b/>
          <w:bCs/>
          <w:color w:val="auto"/>
          <w:kern w:val="2"/>
          <w:sz w:val="24"/>
          <w:szCs w:val="24"/>
          <w:highlight w:val="none"/>
          <w:lang w:val="en-US" w:eastAsia="zh-CN" w:bidi="ar-SA"/>
        </w:rPr>
        <w:t>交通与围挡防护</w:t>
      </w:r>
    </w:p>
    <w:p w14:paraId="7B1715A2">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w:t>
      </w:r>
      <w:r>
        <w:rPr>
          <w:rFonts w:hint="eastAsia" w:ascii="宋体" w:hAnsi="宋体" w:eastAsia="宋体" w:cs="宋体"/>
          <w:b w:val="0"/>
          <w:bCs w:val="0"/>
          <w:color w:val="auto"/>
          <w:kern w:val="2"/>
          <w:sz w:val="24"/>
          <w:szCs w:val="24"/>
          <w:highlight w:val="none"/>
          <w:lang w:val="en-US" w:eastAsia="zh-CN" w:bidi="ar-SA"/>
        </w:rPr>
        <w:t>施工前布设封闭式硬质围挡、反光警示标识、夜间爆闪灯，划分作业区、人行绕行通道</w:t>
      </w:r>
      <w:r>
        <w:rPr>
          <w:rFonts w:hint="eastAsia" w:ascii="宋体" w:hAnsi="宋体" w:eastAsia="宋体" w:cs="宋体"/>
          <w:b w:val="0"/>
          <w:bCs w:val="0"/>
          <w:kern w:val="2"/>
          <w:sz w:val="24"/>
          <w:szCs w:val="24"/>
          <w:highlight w:val="none"/>
          <w:lang w:val="en-US" w:eastAsia="zh-CN" w:bidi="ar-SA"/>
        </w:rPr>
        <w:t>，</w:t>
      </w:r>
      <w:r>
        <w:rPr>
          <w:rFonts w:hint="eastAsia" w:ascii="宋体" w:hAnsi="宋体" w:eastAsia="宋体" w:cs="宋体"/>
          <w:b w:val="0"/>
          <w:bCs w:val="0"/>
          <w:color w:val="auto"/>
          <w:kern w:val="2"/>
          <w:sz w:val="24"/>
          <w:szCs w:val="24"/>
          <w:highlight w:val="none"/>
          <w:lang w:val="en-US" w:eastAsia="zh-CN" w:bidi="ar-SA"/>
        </w:rPr>
        <w:t>提前报备交管部门，高峰期错峰施工。</w:t>
      </w:r>
    </w:p>
    <w:p w14:paraId="01E9629E">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（2）</w:t>
      </w:r>
      <w:r>
        <w:rPr>
          <w:rFonts w:hint="eastAsia" w:ascii="宋体" w:hAnsi="宋体" w:eastAsia="宋体" w:cs="宋体"/>
          <w:b w:val="0"/>
          <w:bCs w:val="0"/>
          <w:color w:val="auto"/>
          <w:kern w:val="2"/>
          <w:sz w:val="24"/>
          <w:szCs w:val="24"/>
          <w:highlight w:val="none"/>
          <w:lang w:val="en-US" w:eastAsia="zh-CN" w:bidi="ar-SA"/>
        </w:rPr>
        <w:t>占用非机动车道、人行道时预留≥1.5m 安全通行宽度，路口位置专人现场疏导人车，避免拥堵、磕碰事故。</w:t>
      </w:r>
    </w:p>
    <w:p w14:paraId="6DFC4B31">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（3）</w:t>
      </w:r>
      <w:r>
        <w:rPr>
          <w:rFonts w:hint="eastAsia" w:ascii="宋体" w:hAnsi="宋体" w:eastAsia="宋体" w:cs="宋体"/>
          <w:b w:val="0"/>
          <w:bCs w:val="0"/>
          <w:color w:val="auto"/>
          <w:kern w:val="2"/>
          <w:sz w:val="24"/>
          <w:szCs w:val="24"/>
          <w:highlight w:val="none"/>
          <w:lang w:val="en-US" w:eastAsia="zh-CN" w:bidi="ar-SA"/>
        </w:rPr>
        <w:t>高空作业下方全域设置警戒区，禁止行人、车辆进入坠物范围，严禁立体交叉无隔离施工。</w:t>
      </w:r>
    </w:p>
    <w:p w14:paraId="5EEDD6DA">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outlineLvl w:val="9"/>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3.2</w:t>
      </w:r>
      <w:r>
        <w:rPr>
          <w:rFonts w:hint="eastAsia" w:ascii="宋体" w:hAnsi="宋体" w:eastAsia="宋体" w:cs="宋体"/>
          <w:b/>
          <w:bCs/>
          <w:color w:val="auto"/>
          <w:kern w:val="2"/>
          <w:sz w:val="24"/>
          <w:szCs w:val="24"/>
          <w:highlight w:val="none"/>
          <w:lang w:val="en-US" w:eastAsia="zh-CN" w:bidi="ar-SA"/>
        </w:rPr>
        <w:t>高空作业安全</w:t>
      </w:r>
    </w:p>
    <w:p w14:paraId="076572BE">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w:t>
      </w:r>
      <w:r>
        <w:rPr>
          <w:rFonts w:hint="eastAsia" w:ascii="宋体" w:hAnsi="宋体" w:eastAsia="宋体" w:cs="宋体"/>
          <w:b w:val="0"/>
          <w:bCs w:val="0"/>
          <w:color w:val="auto"/>
          <w:kern w:val="2"/>
          <w:sz w:val="24"/>
          <w:szCs w:val="24"/>
          <w:highlight w:val="none"/>
          <w:lang w:val="en-US" w:eastAsia="zh-CN" w:bidi="ar-SA"/>
        </w:rPr>
        <w:t>登高脚手架、吊篮搭设验收合格后方可使用，作业人员全员系双钩安全带、防滑劳保鞋，严禁抛物。</w:t>
      </w:r>
    </w:p>
    <w:p w14:paraId="32C7DB02">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（2）</w:t>
      </w:r>
      <w:r>
        <w:rPr>
          <w:rFonts w:hint="eastAsia" w:ascii="宋体" w:hAnsi="宋体" w:eastAsia="宋体" w:cs="宋体"/>
          <w:b w:val="0"/>
          <w:bCs w:val="0"/>
          <w:color w:val="auto"/>
          <w:kern w:val="2"/>
          <w:sz w:val="24"/>
          <w:szCs w:val="24"/>
          <w:highlight w:val="none"/>
          <w:lang w:val="en-US" w:eastAsia="zh-CN" w:bidi="ar-SA"/>
        </w:rPr>
        <w:t>大风(6级及以上)、暴雨、霜冻结冰天气停止高空除锈、涂装、构件更换作业。</w:t>
      </w:r>
    </w:p>
    <w:p w14:paraId="12565C20">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（3）</w:t>
      </w:r>
      <w:r>
        <w:rPr>
          <w:rFonts w:hint="eastAsia" w:ascii="宋体" w:hAnsi="宋体" w:eastAsia="宋体" w:cs="宋体"/>
          <w:b w:val="0"/>
          <w:bCs w:val="0"/>
          <w:color w:val="auto"/>
          <w:kern w:val="2"/>
          <w:sz w:val="24"/>
          <w:szCs w:val="24"/>
          <w:highlight w:val="none"/>
          <w:lang w:val="en-US" w:eastAsia="zh-CN" w:bidi="ar-SA"/>
        </w:rPr>
        <w:t>脚手架定期检查连接件、地基沉降，禁止超载堆放建材、机具。</w:t>
      </w:r>
    </w:p>
    <w:p w14:paraId="1BAAA6F0">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outlineLvl w:val="9"/>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3.3</w:t>
      </w:r>
      <w:r>
        <w:rPr>
          <w:rFonts w:hint="eastAsia" w:ascii="宋体" w:hAnsi="宋体" w:eastAsia="宋体" w:cs="宋体"/>
          <w:b/>
          <w:bCs/>
          <w:color w:val="auto"/>
          <w:kern w:val="2"/>
          <w:sz w:val="24"/>
          <w:szCs w:val="24"/>
          <w:highlight w:val="none"/>
          <w:lang w:val="en-US" w:eastAsia="zh-CN" w:bidi="ar-SA"/>
        </w:rPr>
        <w:t>结构构件维修管控</w:t>
      </w:r>
    </w:p>
    <w:p w14:paraId="11AA3B50">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w:t>
      </w:r>
      <w:r>
        <w:rPr>
          <w:rFonts w:hint="eastAsia" w:ascii="宋体" w:hAnsi="宋体" w:eastAsia="宋体" w:cs="宋体"/>
          <w:b w:val="0"/>
          <w:bCs w:val="0"/>
          <w:color w:val="auto"/>
          <w:kern w:val="2"/>
          <w:sz w:val="24"/>
          <w:szCs w:val="24"/>
          <w:highlight w:val="none"/>
          <w:lang w:val="en-US" w:eastAsia="zh-CN" w:bidi="ar-SA"/>
        </w:rPr>
        <w:t>箱梁、支座、伸缩缝更换前做好临时支顶加固，按方案分步卸载，不得野蛮凿拆，防止梁体位移开裂。</w:t>
      </w:r>
    </w:p>
    <w:p w14:paraId="5F3F7D00">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（2）</w:t>
      </w:r>
      <w:r>
        <w:rPr>
          <w:rFonts w:hint="eastAsia" w:ascii="宋体" w:hAnsi="宋体" w:eastAsia="宋体" w:cs="宋体"/>
          <w:b w:val="0"/>
          <w:bCs w:val="0"/>
          <w:color w:val="auto"/>
          <w:kern w:val="2"/>
          <w:sz w:val="24"/>
          <w:szCs w:val="24"/>
          <w:highlight w:val="none"/>
          <w:lang w:val="en-US" w:eastAsia="zh-CN" w:bidi="ar-SA"/>
        </w:rPr>
        <w:t>钢结构除锈防腐:打磨粉尘采取围挡吸尘措施，防腐涂料远离明火，废料集中收纳，避免涂料滴落污染路面。</w:t>
      </w:r>
    </w:p>
    <w:p w14:paraId="5BB2520B">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（3）</w:t>
      </w:r>
      <w:r>
        <w:rPr>
          <w:rFonts w:hint="eastAsia" w:ascii="宋体" w:hAnsi="宋体" w:eastAsia="宋体" w:cs="宋体"/>
          <w:b w:val="0"/>
          <w:bCs w:val="0"/>
          <w:color w:val="auto"/>
          <w:kern w:val="2"/>
          <w:sz w:val="24"/>
          <w:szCs w:val="24"/>
          <w:highlight w:val="none"/>
          <w:lang w:val="en-US" w:eastAsia="zh-CN" w:bidi="ar-SA"/>
        </w:rPr>
        <w:t>桥面铺装、伸缩缝维修及时清理废渣，新铺装层养生期间封闭通行，未达标不得提前放行行人。</w:t>
      </w:r>
    </w:p>
    <w:p w14:paraId="76F1A464">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outlineLvl w:val="9"/>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3.4</w:t>
      </w:r>
      <w:r>
        <w:rPr>
          <w:rFonts w:hint="eastAsia" w:ascii="宋体" w:hAnsi="宋体" w:eastAsia="宋体" w:cs="宋体"/>
          <w:b/>
          <w:bCs/>
          <w:color w:val="auto"/>
          <w:kern w:val="2"/>
          <w:sz w:val="24"/>
          <w:szCs w:val="24"/>
          <w:highlight w:val="none"/>
          <w:lang w:val="en-US" w:eastAsia="zh-CN" w:bidi="ar-SA"/>
        </w:rPr>
        <w:t>用电、机械与消防安全</w:t>
      </w:r>
    </w:p>
    <w:p w14:paraId="1F5F8D48">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w:t>
      </w:r>
      <w:r>
        <w:rPr>
          <w:rFonts w:hint="eastAsia" w:ascii="宋体" w:hAnsi="宋体" w:eastAsia="宋体" w:cs="宋体"/>
          <w:b w:val="0"/>
          <w:bCs w:val="0"/>
          <w:color w:val="auto"/>
          <w:kern w:val="2"/>
          <w:sz w:val="24"/>
          <w:szCs w:val="24"/>
          <w:highlight w:val="none"/>
          <w:lang w:val="en-US" w:eastAsia="zh-CN" w:bidi="ar-SA"/>
        </w:rPr>
        <w:t>现场施工用电实行三级配电两级保护，电缆架空或穿管防护，杜绝线缆碾压泡水，电动工具接地完好。</w:t>
      </w:r>
    </w:p>
    <w:p w14:paraId="7197F082">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（2）</w:t>
      </w:r>
      <w:r>
        <w:rPr>
          <w:rFonts w:hint="eastAsia" w:ascii="宋体" w:hAnsi="宋体" w:eastAsia="宋体" w:cs="宋体"/>
          <w:b w:val="0"/>
          <w:bCs w:val="0"/>
          <w:color w:val="auto"/>
          <w:kern w:val="2"/>
          <w:sz w:val="24"/>
          <w:szCs w:val="24"/>
          <w:highlight w:val="none"/>
          <w:lang w:val="en-US" w:eastAsia="zh-CN" w:bidi="ar-SA"/>
        </w:rPr>
        <w:t>切割机、空压机等机械专人持证操作，油料单独存放，动火修补钢结构需配备灭火器，办理动火审批。</w:t>
      </w:r>
    </w:p>
    <w:p w14:paraId="516B9458">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outlineLvl w:val="9"/>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3.5</w:t>
      </w:r>
      <w:r>
        <w:rPr>
          <w:rFonts w:hint="eastAsia" w:ascii="宋体" w:hAnsi="宋体" w:eastAsia="宋体" w:cs="宋体"/>
          <w:b/>
          <w:bCs/>
          <w:color w:val="auto"/>
          <w:kern w:val="2"/>
          <w:sz w:val="24"/>
          <w:szCs w:val="24"/>
          <w:highlight w:val="none"/>
          <w:lang w:val="en-US" w:eastAsia="zh-CN" w:bidi="ar-SA"/>
        </w:rPr>
        <w:t>文明施工与环保</w:t>
      </w:r>
    </w:p>
    <w:p w14:paraId="6F5F49B6">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w:t>
      </w:r>
      <w:r>
        <w:rPr>
          <w:rFonts w:hint="eastAsia" w:ascii="宋体" w:hAnsi="宋体" w:eastAsia="宋体" w:cs="宋体"/>
          <w:b w:val="0"/>
          <w:bCs w:val="0"/>
          <w:color w:val="auto"/>
          <w:kern w:val="2"/>
          <w:sz w:val="24"/>
          <w:szCs w:val="24"/>
          <w:highlight w:val="none"/>
          <w:lang w:val="en-US" w:eastAsia="zh-CN" w:bidi="ar-SA"/>
        </w:rPr>
        <w:t>破碎、切割作业酒水降尘，建筑垃圾日产日清，密闭转运，不得沿路抛酒。</w:t>
      </w:r>
    </w:p>
    <w:p w14:paraId="5D338399">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（2）</w:t>
      </w:r>
      <w:r>
        <w:rPr>
          <w:rFonts w:hint="eastAsia" w:ascii="宋体" w:hAnsi="宋体" w:eastAsia="宋体" w:cs="宋体"/>
          <w:b w:val="0"/>
          <w:bCs w:val="0"/>
          <w:color w:val="auto"/>
          <w:kern w:val="2"/>
          <w:sz w:val="24"/>
          <w:szCs w:val="24"/>
          <w:highlight w:val="none"/>
          <w:lang w:val="en-US" w:eastAsia="zh-CN" w:bidi="ar-SA"/>
        </w:rPr>
        <w:t>严控施工噪声，居民区避开22:00一次日6:00 高噪音工序施工。</w:t>
      </w:r>
    </w:p>
    <w:p w14:paraId="0FFE9112">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outlineLvl w:val="9"/>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3.6</w:t>
      </w:r>
      <w:r>
        <w:rPr>
          <w:rFonts w:hint="eastAsia" w:ascii="宋体" w:hAnsi="宋体" w:eastAsia="宋体" w:cs="宋体"/>
          <w:b/>
          <w:bCs/>
          <w:color w:val="auto"/>
          <w:kern w:val="2"/>
          <w:sz w:val="24"/>
          <w:szCs w:val="24"/>
          <w:highlight w:val="none"/>
          <w:lang w:val="en-US" w:eastAsia="zh-CN" w:bidi="ar-SA"/>
        </w:rPr>
        <w:t>成品与既有设施保护</w:t>
      </w:r>
    </w:p>
    <w:p w14:paraId="4A331A01">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w:t>
      </w:r>
      <w:r>
        <w:rPr>
          <w:rFonts w:hint="eastAsia" w:ascii="宋体" w:hAnsi="宋体" w:eastAsia="宋体" w:cs="宋体"/>
          <w:b w:val="0"/>
          <w:bCs w:val="0"/>
          <w:color w:val="auto"/>
          <w:kern w:val="2"/>
          <w:sz w:val="24"/>
          <w:szCs w:val="24"/>
          <w:highlight w:val="none"/>
          <w:lang w:val="en-US" w:eastAsia="zh-CN" w:bidi="ar-SA"/>
        </w:rPr>
        <w:t>天桥扶手、石材饰面、路灯、管线提前包裹防护，维修时避免磕碰原有完好构件。</w:t>
      </w:r>
    </w:p>
    <w:p w14:paraId="5DB348F4">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（2）</w:t>
      </w:r>
      <w:r>
        <w:rPr>
          <w:rFonts w:hint="eastAsia" w:ascii="宋体" w:hAnsi="宋体" w:eastAsia="宋体" w:cs="宋体"/>
          <w:b w:val="0"/>
          <w:bCs w:val="0"/>
          <w:color w:val="auto"/>
          <w:kern w:val="2"/>
          <w:sz w:val="24"/>
          <w:szCs w:val="24"/>
          <w:highlight w:val="none"/>
          <w:lang w:val="en-US" w:eastAsia="zh-CN" w:bidi="ar-SA"/>
        </w:rPr>
        <w:t>施工结束清理路面杂物，恢复标线、防护设施，经多方验收后撤除围挡。</w:t>
      </w:r>
    </w:p>
    <w:p w14:paraId="164D584F">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outlineLvl w:val="1"/>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zh-CN" w:eastAsia="zh-CN" w:bidi="ar-SA"/>
        </w:rPr>
        <w:t>四、商务要求</w:t>
      </w:r>
      <w:bookmarkEnd w:id="67"/>
      <w:bookmarkEnd w:id="68"/>
      <w:bookmarkEnd w:id="69"/>
      <w:bookmarkEnd w:id="70"/>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Pr>
          <w:rFonts w:hint="eastAsia" w:ascii="宋体" w:hAnsi="宋体" w:eastAsia="宋体" w:cs="宋体"/>
          <w:b/>
          <w:bCs/>
          <w:color w:val="auto"/>
          <w:kern w:val="2"/>
          <w:sz w:val="24"/>
          <w:szCs w:val="24"/>
          <w:highlight w:val="none"/>
          <w:lang w:val="en-US" w:eastAsia="zh-CN" w:bidi="ar-SA"/>
        </w:rPr>
        <w:t xml:space="preserve">  </w:t>
      </w:r>
    </w:p>
    <w:p w14:paraId="69FB311D">
      <w:pPr>
        <w:widowControl/>
        <w:spacing w:line="480" w:lineRule="auto"/>
        <w:ind w:firstLine="482" w:firstLineChars="200"/>
        <w:jc w:val="left"/>
        <w:rPr>
          <w:rFonts w:hint="eastAsia" w:ascii="宋体" w:hAnsi="宋体" w:eastAsia="宋体" w:cs="宋体"/>
          <w:color w:val="000000"/>
          <w:kern w:val="0"/>
          <w:sz w:val="24"/>
          <w:szCs w:val="24"/>
          <w:lang w:val="en-US" w:eastAsia="zh-CN"/>
        </w:rPr>
      </w:pPr>
      <w:bookmarkStart w:id="94" w:name="_Toc23873"/>
      <w:r>
        <w:rPr>
          <w:rFonts w:hint="eastAsia" w:ascii="宋体" w:hAnsi="宋体" w:eastAsia="宋体" w:cs="宋体"/>
          <w:b/>
          <w:bCs/>
          <w:color w:val="000000"/>
          <w:kern w:val="0"/>
          <w:sz w:val="24"/>
          <w:szCs w:val="24"/>
          <w:lang w:val="en-US" w:eastAsia="zh-CN"/>
        </w:rPr>
        <w:t>（一）</w:t>
      </w:r>
      <w:r>
        <w:rPr>
          <w:rFonts w:hint="eastAsia" w:ascii="宋体" w:hAnsi="宋体" w:eastAsia="宋体" w:cs="宋体"/>
          <w:b/>
          <w:bCs/>
          <w:color w:val="000000"/>
          <w:kern w:val="0"/>
          <w:sz w:val="24"/>
          <w:szCs w:val="24"/>
        </w:rPr>
        <w:t>预算金额：</w:t>
      </w:r>
      <w:r>
        <w:rPr>
          <w:rFonts w:hint="eastAsia" w:ascii="宋体" w:hAnsi="宋体" w:eastAsia="宋体" w:cs="宋体"/>
          <w:color w:val="000000"/>
          <w:kern w:val="0"/>
          <w:sz w:val="24"/>
          <w:szCs w:val="24"/>
          <w:lang w:val="en-US" w:eastAsia="zh-CN"/>
        </w:rPr>
        <w:t>110</w:t>
      </w:r>
      <w:r>
        <w:rPr>
          <w:rFonts w:hint="eastAsia" w:ascii="宋体" w:hAnsi="宋体" w:eastAsia="宋体" w:cs="宋体"/>
          <w:color w:val="000000"/>
          <w:kern w:val="0"/>
          <w:sz w:val="24"/>
          <w:szCs w:val="24"/>
        </w:rPr>
        <w:t>万元</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lang w:val="en-US" w:eastAsia="zh-CN"/>
        </w:rPr>
        <w:t>超过预算金额为无效响应。</w:t>
      </w:r>
    </w:p>
    <w:p w14:paraId="1DBBB109">
      <w:pPr>
        <w:pStyle w:val="8"/>
        <w:keepNext w:val="0"/>
        <w:keepLines w:val="0"/>
        <w:pageBreakBefore w:val="0"/>
        <w:widowControl/>
        <w:suppressLineNumbers w:val="0"/>
        <w:kinsoku/>
        <w:wordWrap/>
        <w:overflowPunct/>
        <w:topLinePunct w:val="0"/>
        <w:autoSpaceDE/>
        <w:autoSpaceDN/>
        <w:bidi w:val="0"/>
        <w:adjustRightInd/>
        <w:snapToGrid/>
        <w:spacing w:after="0" w:line="480" w:lineRule="auto"/>
        <w:ind w:firstLine="482" w:firstLineChars="200"/>
        <w:jc w:val="left"/>
        <w:outlineLvl w:val="9"/>
        <w:rPr>
          <w:rFonts w:hint="eastAsia" w:ascii="宋体" w:hAnsi="宋体" w:eastAsia="宋体" w:cs="宋体"/>
          <w:color w:val="000000"/>
          <w:kern w:val="0"/>
          <w:sz w:val="24"/>
          <w:szCs w:val="24"/>
          <w:lang w:val="en-US" w:eastAsia="zh-CN" w:bidi="ar-SA"/>
        </w:rPr>
      </w:pPr>
      <w:r>
        <w:rPr>
          <w:rFonts w:hint="eastAsia" w:ascii="宋体" w:hAnsi="宋体" w:eastAsia="宋体" w:cs="宋体"/>
          <w:b/>
          <w:bCs/>
          <w:color w:val="000000"/>
          <w:kern w:val="0"/>
          <w:sz w:val="24"/>
          <w:szCs w:val="24"/>
          <w:lang w:val="en-US" w:eastAsia="zh-CN"/>
        </w:rPr>
        <w:t>（二）</w:t>
      </w:r>
      <w:r>
        <w:rPr>
          <w:rFonts w:hint="eastAsia" w:ascii="宋体" w:hAnsi="宋体" w:eastAsia="宋体" w:cs="宋体"/>
          <w:b/>
          <w:bCs/>
          <w:color w:val="000000"/>
          <w:kern w:val="0"/>
          <w:sz w:val="24"/>
          <w:szCs w:val="24"/>
        </w:rPr>
        <w:t>报价要求：</w:t>
      </w:r>
      <w:r>
        <w:rPr>
          <w:rFonts w:hint="eastAsia" w:ascii="宋体" w:hAnsi="宋体" w:eastAsia="宋体" w:cs="宋体"/>
          <w:color w:val="000000"/>
          <w:kern w:val="0"/>
          <w:sz w:val="24"/>
          <w:szCs w:val="24"/>
          <w:lang w:eastAsia="zh-CN"/>
        </w:rPr>
        <w:t>供应商</w:t>
      </w:r>
      <w:r>
        <w:rPr>
          <w:rFonts w:hint="eastAsia" w:ascii="宋体" w:hAnsi="宋体" w:eastAsia="宋体" w:cs="宋体"/>
          <w:color w:val="000000"/>
          <w:kern w:val="0"/>
          <w:sz w:val="24"/>
          <w:szCs w:val="24"/>
        </w:rPr>
        <w:t>所提供的货物和服务一律用人民币报价，供应商的报价应是完成本项目釆购人需支付的全部费用（</w:t>
      </w:r>
      <w:r>
        <w:rPr>
          <w:rFonts w:hint="eastAsia" w:ascii="宋体" w:hAnsi="宋体" w:eastAsia="宋体" w:cs="宋体"/>
          <w:sz w:val="24"/>
          <w:szCs w:val="24"/>
        </w:rPr>
        <w:t>人工费、材料费、</w:t>
      </w:r>
      <w:r>
        <w:rPr>
          <w:rFonts w:hint="eastAsia" w:ascii="宋体" w:hAnsi="宋体" w:eastAsia="宋体" w:cs="宋体"/>
          <w:color w:val="000000"/>
          <w:kern w:val="0"/>
          <w:sz w:val="24"/>
          <w:szCs w:val="24"/>
        </w:rPr>
        <w:t>设备</w:t>
      </w:r>
      <w:r>
        <w:rPr>
          <w:rFonts w:hint="eastAsia" w:ascii="宋体" w:hAnsi="宋体" w:eastAsia="宋体" w:cs="宋体"/>
          <w:sz w:val="24"/>
          <w:szCs w:val="24"/>
        </w:rPr>
        <w:t>费、</w:t>
      </w:r>
      <w:r>
        <w:rPr>
          <w:rFonts w:hint="eastAsia" w:ascii="宋体" w:hAnsi="宋体" w:eastAsia="宋体" w:cs="宋体"/>
          <w:sz w:val="24"/>
          <w:szCs w:val="24"/>
          <w:lang w:val="en-US" w:eastAsia="zh-CN"/>
        </w:rPr>
        <w:t>材料</w:t>
      </w:r>
      <w:r>
        <w:rPr>
          <w:rFonts w:hint="eastAsia" w:ascii="宋体" w:hAnsi="宋体" w:eastAsia="宋体" w:cs="宋体"/>
          <w:sz w:val="24"/>
          <w:szCs w:val="24"/>
        </w:rPr>
        <w:t>检测试验费、管理费、利润、税费</w:t>
      </w:r>
      <w:r>
        <w:rPr>
          <w:rFonts w:hint="eastAsia" w:ascii="宋体" w:hAnsi="宋体" w:eastAsia="宋体" w:cs="宋体"/>
          <w:sz w:val="24"/>
          <w:szCs w:val="24"/>
          <w:lang w:eastAsia="zh-CN"/>
        </w:rPr>
        <w:t>、</w:t>
      </w:r>
      <w:r>
        <w:rPr>
          <w:rFonts w:hint="eastAsia" w:ascii="宋体" w:hAnsi="宋体" w:eastAsia="宋体" w:cs="宋体"/>
          <w:sz w:val="24"/>
          <w:szCs w:val="24"/>
        </w:rPr>
        <w:t>风险费用及合同履行过程中可能发生的其他费用</w:t>
      </w:r>
      <w:r>
        <w:rPr>
          <w:rFonts w:hint="eastAsia" w:ascii="宋体" w:hAnsi="宋体" w:eastAsia="宋体" w:cs="宋体"/>
          <w:color w:val="000000"/>
          <w:kern w:val="0"/>
          <w:sz w:val="24"/>
          <w:szCs w:val="24"/>
        </w:rPr>
        <w:t>）。</w:t>
      </w:r>
    </w:p>
    <w:p w14:paraId="4843D966">
      <w:pPr>
        <w:spacing w:line="480" w:lineRule="auto"/>
        <w:ind w:firstLine="482" w:firstLineChars="200"/>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b/>
          <w:bCs/>
          <w:color w:val="000000"/>
          <w:kern w:val="0"/>
          <w:sz w:val="24"/>
          <w:szCs w:val="24"/>
          <w:lang w:val="en-US" w:eastAsia="zh-CN" w:bidi="ar-SA"/>
        </w:rPr>
        <w:t>（三）付款方式：</w:t>
      </w:r>
    </w:p>
    <w:p w14:paraId="6507F9D1">
      <w:pPr>
        <w:pStyle w:val="8"/>
        <w:keepNext w:val="0"/>
        <w:keepLines w:val="0"/>
        <w:pageBreakBefore w:val="0"/>
        <w:widowControl w:val="0"/>
        <w:suppressLineNumbers w:val="0"/>
        <w:kinsoku/>
        <w:wordWrap w:val="0"/>
        <w:overflowPunct/>
        <w:topLinePunct w:val="0"/>
        <w:autoSpaceDE/>
        <w:autoSpaceDN/>
        <w:bidi w:val="0"/>
        <w:adjustRightInd/>
        <w:snapToGrid/>
        <w:spacing w:after="0" w:line="480" w:lineRule="auto"/>
        <w:ind w:firstLine="480" w:firstLineChars="200"/>
        <w:jc w:val="left"/>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1.供应商维修服务完成，并通过采购人验收合格后，在采购人核定金额后，采购人向供应商支付费用。</w:t>
      </w:r>
    </w:p>
    <w:p w14:paraId="216BDF29">
      <w:pPr>
        <w:pStyle w:val="8"/>
        <w:keepNext w:val="0"/>
        <w:keepLines w:val="0"/>
        <w:pageBreakBefore w:val="0"/>
        <w:widowControl w:val="0"/>
        <w:suppressLineNumbers w:val="0"/>
        <w:kinsoku/>
        <w:wordWrap w:val="0"/>
        <w:overflowPunct/>
        <w:topLinePunct w:val="0"/>
        <w:autoSpaceDE/>
        <w:autoSpaceDN/>
        <w:bidi w:val="0"/>
        <w:adjustRightInd/>
        <w:snapToGrid/>
        <w:spacing w:after="0" w:line="480" w:lineRule="auto"/>
        <w:ind w:firstLine="480" w:firstLineChars="200"/>
        <w:jc w:val="left"/>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lang w:val="en-US" w:eastAsia="zh-CN"/>
        </w:rPr>
        <w:t>2.</w:t>
      </w:r>
      <w:r>
        <w:rPr>
          <w:rFonts w:hint="eastAsia" w:ascii="宋体" w:hAnsi="宋体" w:eastAsia="宋体" w:cs="宋体"/>
          <w:color w:val="auto"/>
          <w:kern w:val="0"/>
          <w:sz w:val="24"/>
          <w:szCs w:val="24"/>
          <w:lang w:val="en-US" w:eastAsia="zh-CN"/>
        </w:rPr>
        <w:t>采购人支付费用前，</w:t>
      </w:r>
      <w:r>
        <w:rPr>
          <w:rFonts w:hint="eastAsia" w:ascii="宋体" w:hAnsi="宋体" w:eastAsia="宋体" w:cs="宋体"/>
          <w:color w:val="auto"/>
          <w:kern w:val="0"/>
          <w:sz w:val="24"/>
          <w:szCs w:val="24"/>
          <w:lang w:val="en-US" w:eastAsia="zh-CN"/>
        </w:rPr>
        <w:t>供应商</w:t>
      </w:r>
      <w:r>
        <w:rPr>
          <w:rFonts w:hint="eastAsia" w:ascii="宋体" w:hAnsi="宋体" w:eastAsia="宋体" w:cs="宋体"/>
          <w:color w:val="auto"/>
          <w:kern w:val="0"/>
          <w:sz w:val="24"/>
          <w:szCs w:val="24"/>
          <w:lang w:val="en-US" w:eastAsia="zh-CN"/>
        </w:rPr>
        <w:t>应向采购人提交等额有效的发票（由采购人决定增值税普通发票或增值税专用发票）；若</w:t>
      </w:r>
      <w:r>
        <w:rPr>
          <w:rFonts w:hint="eastAsia" w:ascii="宋体" w:hAnsi="宋体" w:eastAsia="宋体" w:cs="宋体"/>
          <w:color w:val="auto"/>
          <w:kern w:val="0"/>
          <w:sz w:val="24"/>
          <w:szCs w:val="24"/>
          <w:lang w:val="en-US" w:eastAsia="zh-CN"/>
        </w:rPr>
        <w:t>供应商</w:t>
      </w:r>
      <w:r>
        <w:rPr>
          <w:rFonts w:hint="eastAsia" w:ascii="宋体" w:hAnsi="宋体" w:eastAsia="宋体" w:cs="宋体"/>
          <w:color w:val="auto"/>
          <w:kern w:val="0"/>
          <w:sz w:val="24"/>
          <w:szCs w:val="24"/>
          <w:lang w:val="en-US" w:eastAsia="zh-CN"/>
        </w:rPr>
        <w:t>延迟交付发票，则采购人有权顺延付款。</w:t>
      </w:r>
      <w:r>
        <w:rPr>
          <w:rFonts w:hint="eastAsia" w:ascii="宋体" w:hAnsi="宋体" w:eastAsia="宋体" w:cs="宋体"/>
          <w:color w:val="auto"/>
          <w:kern w:val="0"/>
          <w:sz w:val="24"/>
          <w:szCs w:val="24"/>
          <w:highlight w:val="none"/>
          <w:lang w:val="en-US" w:eastAsia="zh-CN"/>
        </w:rPr>
        <w:t>采购人在收到</w:t>
      </w:r>
      <w:r>
        <w:rPr>
          <w:rFonts w:hint="eastAsia" w:ascii="宋体" w:hAnsi="宋体" w:eastAsia="宋体" w:cs="宋体"/>
          <w:color w:val="auto"/>
          <w:kern w:val="0"/>
          <w:sz w:val="24"/>
          <w:szCs w:val="24"/>
          <w:highlight w:val="none"/>
          <w:lang w:val="en-US" w:eastAsia="zh-CN"/>
        </w:rPr>
        <w:t>供应商</w:t>
      </w:r>
      <w:r>
        <w:rPr>
          <w:rFonts w:hint="eastAsia" w:ascii="宋体" w:hAnsi="宋体" w:eastAsia="宋体" w:cs="宋体"/>
          <w:color w:val="auto"/>
          <w:kern w:val="0"/>
          <w:sz w:val="24"/>
          <w:szCs w:val="24"/>
          <w:highlight w:val="none"/>
          <w:lang w:val="en-US" w:eastAsia="zh-CN"/>
        </w:rPr>
        <w:t>提交的发票后</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sz w:val="24"/>
          <w:szCs w:val="24"/>
          <w:highlight w:val="none"/>
          <w:lang w:val="en-US" w:eastAsia="zh-CN"/>
        </w:rPr>
        <w:t>个工作</w:t>
      </w:r>
      <w:r>
        <w:rPr>
          <w:rFonts w:hint="eastAsia" w:ascii="宋体" w:hAnsi="宋体" w:eastAsia="宋体" w:cs="宋体"/>
          <w:color w:val="auto"/>
          <w:kern w:val="0"/>
          <w:sz w:val="24"/>
          <w:szCs w:val="24"/>
          <w:highlight w:val="none"/>
          <w:lang w:val="en-US" w:eastAsia="zh-CN"/>
        </w:rPr>
        <w:t>日内支付服务费用</w:t>
      </w:r>
      <w:r>
        <w:rPr>
          <w:rFonts w:hint="eastAsia" w:ascii="宋体" w:hAnsi="宋体" w:eastAsia="宋体" w:cs="宋体"/>
          <w:color w:val="auto"/>
          <w:kern w:val="0"/>
          <w:sz w:val="24"/>
          <w:szCs w:val="24"/>
          <w:highlight w:val="none"/>
          <w:lang w:val="en-US" w:eastAsia="zh-CN" w:bidi="ar-SA"/>
        </w:rPr>
        <w:t>。</w:t>
      </w:r>
    </w:p>
    <w:p w14:paraId="270ABCD5">
      <w:pPr>
        <w:pStyle w:val="8"/>
        <w:keepNext w:val="0"/>
        <w:keepLines w:val="0"/>
        <w:pageBreakBefore w:val="0"/>
        <w:widowControl w:val="0"/>
        <w:suppressLineNumbers w:val="0"/>
        <w:kinsoku/>
        <w:wordWrap w:val="0"/>
        <w:overflowPunct/>
        <w:topLinePunct w:val="0"/>
        <w:autoSpaceDE/>
        <w:autoSpaceDN/>
        <w:bidi w:val="0"/>
        <w:adjustRightInd/>
        <w:snapToGrid/>
        <w:spacing w:after="0" w:line="480" w:lineRule="auto"/>
        <w:ind w:firstLine="480" w:firstLineChars="200"/>
        <w:jc w:val="left"/>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核定金额说明：双方同意，本合同项下的结算依据以双方共同确认的结算文件为准，结算金额按照服务量及合同约定价进行核算。除非合同另有明确约定，或法律、行政法规另有规定，任何一方不得强制要求以审计机关的审计结果作为本合同的结算依据。</w:t>
      </w:r>
    </w:p>
    <w:p w14:paraId="3A7A96A3">
      <w:pPr>
        <w:spacing w:line="48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color w:val="000000"/>
          <w:kern w:val="0"/>
          <w:sz w:val="24"/>
          <w:szCs w:val="24"/>
          <w:lang w:val="en-US" w:eastAsia="zh-CN" w:bidi="ar-SA"/>
        </w:rPr>
        <w:t>★</w:t>
      </w:r>
      <w:r>
        <w:rPr>
          <w:rFonts w:hint="eastAsia" w:ascii="宋体" w:hAnsi="宋体" w:eastAsia="宋体" w:cs="宋体"/>
          <w:b/>
          <w:bCs/>
          <w:color w:val="000000"/>
          <w:kern w:val="0"/>
          <w:sz w:val="24"/>
          <w:szCs w:val="24"/>
          <w:lang w:val="en-US" w:eastAsia="zh-CN" w:bidi="ar-SA"/>
        </w:rPr>
        <w:t>（四）合同履行期限（服务期）：45个日历天</w:t>
      </w:r>
      <w:r>
        <w:rPr>
          <w:rFonts w:hint="eastAsia" w:ascii="宋体" w:hAnsi="宋体" w:eastAsia="宋体" w:cs="宋体"/>
          <w:b/>
          <w:bCs/>
          <w:kern w:val="2"/>
          <w:sz w:val="24"/>
          <w:szCs w:val="24"/>
          <w:lang w:val="en-US" w:eastAsia="zh-CN" w:bidi="ar-SA"/>
        </w:rPr>
        <w:t>。</w:t>
      </w:r>
    </w:p>
    <w:p w14:paraId="04A03FC4">
      <w:pPr>
        <w:pageBreakBefore w:val="0"/>
        <w:tabs>
          <w:tab w:val="left" w:pos="711"/>
        </w:tabs>
        <w:kinsoku/>
        <w:wordWrap/>
        <w:overflowPunct/>
        <w:topLinePunct w:val="0"/>
        <w:bidi w:val="0"/>
        <w:spacing w:line="480" w:lineRule="auto"/>
        <w:ind w:firstLine="480" w:firstLineChars="200"/>
        <w:jc w:val="left"/>
        <w:outlineLvl w:val="9"/>
        <w:rPr>
          <w:rFonts w:hint="eastAsia" w:ascii="宋体" w:hAnsi="宋体" w:eastAsia="宋体" w:cs="宋体"/>
          <w:b/>
          <w:bCs/>
          <w:color w:val="000000"/>
          <w:kern w:val="0"/>
          <w:sz w:val="24"/>
          <w:szCs w:val="24"/>
          <w:lang w:val="en-US" w:eastAsia="zh-CN"/>
        </w:rPr>
      </w:pPr>
      <w:r>
        <w:rPr>
          <w:rFonts w:hint="eastAsia" w:ascii="宋体" w:hAnsi="宋体" w:eastAsia="宋体" w:cs="宋体"/>
          <w:color w:val="000000"/>
          <w:kern w:val="0"/>
          <w:sz w:val="24"/>
          <w:szCs w:val="24"/>
          <w:lang w:val="en-US" w:eastAsia="zh-CN" w:bidi="ar-SA"/>
        </w:rPr>
        <w:t>★</w:t>
      </w:r>
      <w:r>
        <w:rPr>
          <w:rFonts w:hint="eastAsia" w:ascii="宋体" w:hAnsi="宋体" w:eastAsia="宋体" w:cs="宋体"/>
          <w:b/>
          <w:bCs/>
          <w:color w:val="000000"/>
          <w:kern w:val="0"/>
          <w:sz w:val="24"/>
          <w:szCs w:val="24"/>
          <w:lang w:val="en-US" w:eastAsia="zh-CN"/>
        </w:rPr>
        <w:t>（五）质保期：</w:t>
      </w:r>
      <w:r>
        <w:rPr>
          <w:rFonts w:hint="eastAsia" w:ascii="宋体" w:hAnsi="宋体" w:eastAsia="宋体" w:cs="宋体"/>
          <w:b/>
          <w:bCs/>
          <w:color w:val="auto"/>
          <w:kern w:val="0"/>
          <w:sz w:val="24"/>
          <w:szCs w:val="24"/>
          <w:highlight w:val="none"/>
          <w:lang w:val="en-US" w:eastAsia="zh-CN" w:bidi="ar-SA"/>
        </w:rPr>
        <w:t>自竣工验收合格之日起2年，防水5年，其他满足国家、行业相关要求（如有从其要求）。</w:t>
      </w:r>
      <w:r>
        <w:rPr>
          <w:rFonts w:hint="eastAsia" w:ascii="宋体" w:hAnsi="宋体" w:eastAsia="宋体" w:cs="宋体"/>
          <w:b/>
          <w:bCs/>
          <w:color w:val="auto"/>
          <w:sz w:val="24"/>
          <w:szCs w:val="24"/>
          <w:highlight w:val="none"/>
          <w:lang w:val="en-US" w:eastAsia="zh-CN"/>
        </w:rPr>
        <w:t>（供应商提供承诺函，格式自拟）</w:t>
      </w:r>
    </w:p>
    <w:p w14:paraId="5B434B3F">
      <w:pPr>
        <w:pageBreakBefore w:val="0"/>
        <w:tabs>
          <w:tab w:val="left" w:pos="711"/>
        </w:tabs>
        <w:kinsoku/>
        <w:wordWrap/>
        <w:overflowPunct/>
        <w:topLinePunct w:val="0"/>
        <w:bidi w:val="0"/>
        <w:spacing w:line="480" w:lineRule="auto"/>
        <w:ind w:firstLine="482" w:firstLineChars="200"/>
        <w:jc w:val="left"/>
        <w:outlineLvl w:val="9"/>
        <w:rPr>
          <w:rFonts w:hint="eastAsia" w:ascii="宋体" w:hAnsi="宋体" w:eastAsia="宋体" w:cs="宋体"/>
          <w:color w:val="000000"/>
          <w:kern w:val="0"/>
          <w:sz w:val="24"/>
          <w:szCs w:val="24"/>
          <w:lang w:val="en-US" w:eastAsia="zh-CN"/>
        </w:rPr>
      </w:pPr>
      <w:r>
        <w:rPr>
          <w:rFonts w:hint="eastAsia" w:ascii="宋体" w:hAnsi="宋体" w:eastAsia="宋体" w:cs="宋体"/>
          <w:b/>
          <w:bCs/>
          <w:color w:val="000000"/>
          <w:kern w:val="0"/>
          <w:sz w:val="24"/>
          <w:szCs w:val="24"/>
          <w:lang w:val="en-US" w:eastAsia="zh-CN"/>
        </w:rPr>
        <w:t>（六）服务地点：</w:t>
      </w:r>
      <w:r>
        <w:rPr>
          <w:rFonts w:hint="eastAsia" w:ascii="宋体" w:hAnsi="宋体" w:eastAsia="宋体" w:cs="宋体"/>
          <w:kern w:val="0"/>
          <w:sz w:val="24"/>
          <w:szCs w:val="24"/>
          <w:lang w:val="en-US" w:eastAsia="zh-CN"/>
        </w:rPr>
        <w:t>武汉市武昌区</w:t>
      </w:r>
      <w:r>
        <w:rPr>
          <w:rFonts w:hint="eastAsia" w:ascii="宋体" w:hAnsi="宋体" w:eastAsia="宋体" w:cs="宋体"/>
          <w:sz w:val="24"/>
          <w:szCs w:val="24"/>
          <w:lang w:eastAsia="zh-CN"/>
        </w:rPr>
        <w:t>司门口天桥</w:t>
      </w:r>
      <w:r>
        <w:rPr>
          <w:rFonts w:hint="eastAsia" w:ascii="宋体" w:hAnsi="宋体" w:eastAsia="宋体" w:cs="宋体"/>
          <w:sz w:val="24"/>
          <w:szCs w:val="24"/>
          <w:lang w:val="en-US" w:eastAsia="zh-CN"/>
        </w:rPr>
        <w:t>。</w:t>
      </w:r>
    </w:p>
    <w:p w14:paraId="694AEE0C">
      <w:pPr>
        <w:keepNext w:val="0"/>
        <w:keepLines w:val="0"/>
        <w:pageBreakBefore w:val="0"/>
        <w:widowControl w:val="0"/>
        <w:kinsoku/>
        <w:wordWrap/>
        <w:overflowPunct/>
        <w:topLinePunct w:val="0"/>
        <w:autoSpaceDE/>
        <w:autoSpaceDN/>
        <w:bidi w:val="0"/>
        <w:adjustRightInd/>
        <w:snapToGrid/>
        <w:spacing w:line="480" w:lineRule="auto"/>
        <w:ind w:firstLine="482" w:firstLineChars="200"/>
        <w:jc w:val="left"/>
        <w:textAlignment w:val="auto"/>
        <w:outlineLvl w:val="9"/>
        <w:rPr>
          <w:rFonts w:hint="eastAsia" w:ascii="宋体" w:hAnsi="宋体" w:eastAsia="宋体" w:cs="宋体"/>
          <w:color w:val="000000"/>
          <w:kern w:val="0"/>
          <w:sz w:val="24"/>
          <w:szCs w:val="24"/>
          <w:lang w:val="en-US" w:eastAsia="zh-CN"/>
        </w:rPr>
      </w:pPr>
      <w:r>
        <w:rPr>
          <w:rFonts w:hint="eastAsia" w:ascii="宋体" w:hAnsi="宋体" w:eastAsia="宋体" w:cs="宋体"/>
          <w:b/>
          <w:bCs/>
          <w:color w:val="000000"/>
          <w:kern w:val="0"/>
          <w:sz w:val="24"/>
          <w:szCs w:val="24"/>
          <w:lang w:val="en-US" w:eastAsia="zh-CN"/>
        </w:rPr>
        <w:t>（七）履约保证金：</w:t>
      </w:r>
      <w:r>
        <w:rPr>
          <w:rFonts w:hint="eastAsia" w:ascii="宋体" w:hAnsi="宋体" w:eastAsia="宋体" w:cs="宋体"/>
          <w:color w:val="000000"/>
          <w:kern w:val="0"/>
          <w:sz w:val="24"/>
          <w:szCs w:val="24"/>
          <w:lang w:val="en-US" w:eastAsia="zh-CN"/>
        </w:rPr>
        <w:t>不收取。</w:t>
      </w:r>
    </w:p>
    <w:p w14:paraId="1D3930E4">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outlineLvl w:val="9"/>
        <w:rPr>
          <w:rFonts w:hint="eastAsia" w:ascii="宋体" w:hAnsi="宋体" w:eastAsia="宋体" w:cs="宋体"/>
          <w:color w:val="000000"/>
          <w:kern w:val="0"/>
          <w:sz w:val="24"/>
          <w:szCs w:val="24"/>
          <w:lang w:val="zh-CN" w:eastAsia="zh-CN" w:bidi="ar-SA"/>
        </w:rPr>
      </w:pPr>
      <w:r>
        <w:rPr>
          <w:rFonts w:hint="eastAsia" w:ascii="宋体" w:hAnsi="宋体" w:eastAsia="宋体" w:cs="宋体"/>
          <w:b/>
          <w:bCs/>
          <w:color w:val="000000"/>
          <w:kern w:val="0"/>
          <w:sz w:val="24"/>
          <w:szCs w:val="24"/>
          <w:lang w:val="en-US" w:eastAsia="zh-CN"/>
        </w:rPr>
        <w:t>（八）保密：</w:t>
      </w:r>
      <w:r>
        <w:rPr>
          <w:rFonts w:hint="eastAsia" w:ascii="宋体" w:hAnsi="宋体" w:eastAsia="宋体" w:cs="宋体"/>
          <w:color w:val="000000"/>
          <w:kern w:val="0"/>
          <w:sz w:val="24"/>
          <w:szCs w:val="24"/>
          <w:lang w:val="en-US" w:eastAsia="zh-CN"/>
        </w:rPr>
        <w:t>采购人与供应商在合作中所获知对方需要保密的文件、资料、数</w:t>
      </w:r>
      <w:r>
        <w:rPr>
          <w:rFonts w:hint="eastAsia" w:ascii="宋体" w:hAnsi="宋体" w:eastAsia="宋体" w:cs="宋体"/>
          <w:color w:val="000000"/>
          <w:kern w:val="0"/>
          <w:sz w:val="24"/>
          <w:szCs w:val="24"/>
          <w:lang w:val="en-US" w:eastAsia="zh-CN" w:bidi="ar-SA"/>
        </w:rPr>
        <w:t>据、信息、情报负有保密义务，未经对方书面同意不得将其泄漏给第三方。</w:t>
      </w:r>
    </w:p>
    <w:bookmarkEnd w:id="94"/>
    <w:p w14:paraId="709286DD">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outlineLvl w:val="1"/>
        <w:rPr>
          <w:rFonts w:hint="eastAsia" w:ascii="宋体" w:hAnsi="宋体" w:eastAsia="宋体" w:cs="宋体"/>
          <w:b/>
          <w:bCs/>
          <w:color w:val="auto"/>
          <w:kern w:val="0"/>
          <w:sz w:val="24"/>
          <w:szCs w:val="24"/>
          <w:highlight w:val="none"/>
          <w:lang w:val="zh-CN" w:eastAsia="zh-CN" w:bidi="ar-SA"/>
        </w:rPr>
      </w:pPr>
      <w:bookmarkStart w:id="95" w:name="_Toc13416"/>
      <w:r>
        <w:rPr>
          <w:rFonts w:hint="eastAsia" w:ascii="宋体" w:hAnsi="宋体" w:eastAsia="宋体" w:cs="宋体"/>
          <w:b/>
          <w:bCs/>
          <w:color w:val="auto"/>
          <w:kern w:val="0"/>
          <w:sz w:val="24"/>
          <w:szCs w:val="24"/>
          <w:highlight w:val="none"/>
          <w:lang w:val="zh-CN" w:eastAsia="zh-CN" w:bidi="ar-SA"/>
        </w:rPr>
        <w:t>五、</w:t>
      </w:r>
      <w:r>
        <w:rPr>
          <w:rFonts w:hint="eastAsia" w:ascii="宋体" w:hAnsi="宋体" w:eastAsia="宋体" w:cs="宋体"/>
          <w:b/>
          <w:bCs/>
          <w:color w:val="auto"/>
          <w:kern w:val="0"/>
          <w:sz w:val="24"/>
          <w:szCs w:val="24"/>
          <w:highlight w:val="none"/>
          <w:lang w:val="en-US" w:eastAsia="zh-CN" w:bidi="ar-SA"/>
        </w:rPr>
        <w:t>采购标的的验收标准</w:t>
      </w:r>
      <w:bookmarkEnd w:id="95"/>
    </w:p>
    <w:p w14:paraId="52C4A35E">
      <w:pPr>
        <w:keepNext w:val="0"/>
        <w:keepLines w:val="0"/>
        <w:pageBreakBefore w:val="0"/>
        <w:widowControl/>
        <w:tabs>
          <w:tab w:val="left" w:pos="711"/>
        </w:tabs>
        <w:kinsoku/>
        <w:wordWrap/>
        <w:overflowPunct/>
        <w:topLinePunct w:val="0"/>
        <w:autoSpaceDE/>
        <w:autoSpaceDN/>
        <w:bidi w:val="0"/>
        <w:adjustRightInd/>
        <w:snapToGrid/>
        <w:spacing w:line="480" w:lineRule="auto"/>
        <w:ind w:firstLine="482" w:firstLineChars="200"/>
        <w:textAlignment w:val="auto"/>
        <w:outlineLvl w:val="9"/>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bCs/>
          <w:color w:val="000000"/>
          <w:kern w:val="0"/>
          <w:sz w:val="24"/>
          <w:szCs w:val="24"/>
          <w:highlight w:val="none"/>
          <w:lang w:val="en-US" w:eastAsia="zh-CN" w:bidi="ar-SA"/>
        </w:rPr>
        <w:t>（一）履约验收主体：</w:t>
      </w:r>
      <w:r>
        <w:rPr>
          <w:rFonts w:hint="eastAsia" w:ascii="宋体" w:hAnsi="宋体" w:eastAsia="宋体" w:cs="宋体"/>
          <w:b w:val="0"/>
          <w:bCs w:val="0"/>
          <w:color w:val="000000"/>
          <w:kern w:val="0"/>
          <w:sz w:val="24"/>
          <w:szCs w:val="24"/>
          <w:highlight w:val="none"/>
          <w:lang w:val="en-US" w:eastAsia="zh-CN" w:bidi="ar-SA"/>
        </w:rPr>
        <w:t>采购人和第三方专业机构。</w:t>
      </w:r>
    </w:p>
    <w:p w14:paraId="4E7B34F9">
      <w:pPr>
        <w:keepNext w:val="0"/>
        <w:keepLines w:val="0"/>
        <w:pageBreakBefore w:val="0"/>
        <w:widowControl/>
        <w:tabs>
          <w:tab w:val="left" w:pos="711"/>
        </w:tabs>
        <w:kinsoku/>
        <w:wordWrap/>
        <w:overflowPunct/>
        <w:topLinePunct w:val="0"/>
        <w:autoSpaceDE/>
        <w:autoSpaceDN/>
        <w:bidi w:val="0"/>
        <w:adjustRightInd/>
        <w:snapToGrid/>
        <w:spacing w:line="480" w:lineRule="auto"/>
        <w:ind w:firstLine="482" w:firstLineChars="200"/>
        <w:textAlignment w:val="auto"/>
        <w:outlineLvl w:val="9"/>
        <w:rPr>
          <w:rFonts w:hint="eastAsia" w:ascii="宋体" w:hAnsi="宋体" w:eastAsia="宋体" w:cs="宋体"/>
          <w:b/>
          <w:bCs/>
          <w:color w:val="000000"/>
          <w:kern w:val="0"/>
          <w:sz w:val="24"/>
          <w:szCs w:val="24"/>
          <w:highlight w:val="none"/>
          <w:lang w:val="en-US" w:eastAsia="zh-CN" w:bidi="ar-SA"/>
        </w:rPr>
      </w:pPr>
      <w:r>
        <w:rPr>
          <w:rFonts w:hint="eastAsia" w:ascii="宋体" w:hAnsi="宋体" w:eastAsia="宋体" w:cs="宋体"/>
          <w:b/>
          <w:bCs/>
          <w:color w:val="000000"/>
          <w:kern w:val="0"/>
          <w:sz w:val="24"/>
          <w:szCs w:val="24"/>
          <w:highlight w:val="none"/>
          <w:lang w:val="en-US" w:eastAsia="zh-CN" w:bidi="ar-SA"/>
        </w:rPr>
        <w:t>（二）履约验收时间：</w:t>
      </w:r>
    </w:p>
    <w:p w14:paraId="69D4B84A">
      <w:pPr>
        <w:keepNext w:val="0"/>
        <w:keepLines w:val="0"/>
        <w:pageBreakBefore w:val="0"/>
        <w:widowControl/>
        <w:tabs>
          <w:tab w:val="left" w:pos="711"/>
        </w:tabs>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1.隐蔽工程验收：混凝土修补、钢筋除锈、裂缝注胶、栏杆焊接、防水层、伸缩缝锚固等隐蔽部位，应在覆盖或进入下道工序前组织验收。</w:t>
      </w:r>
    </w:p>
    <w:p w14:paraId="6B7A51C8">
      <w:pPr>
        <w:keepNext w:val="0"/>
        <w:keepLines w:val="0"/>
        <w:pageBreakBefore w:val="0"/>
        <w:widowControl/>
        <w:tabs>
          <w:tab w:val="left" w:pos="711"/>
        </w:tabs>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2.分项/分部验收：涂装、铺装、伸缩缝更换、栏杆修复、混凝土修补等分项工程完成后，应及时组织分项验收。</w:t>
      </w:r>
    </w:p>
    <w:p w14:paraId="0A670856">
      <w:pPr>
        <w:keepNext w:val="0"/>
        <w:keepLines w:val="0"/>
        <w:pageBreakBefore w:val="0"/>
        <w:widowControl/>
        <w:tabs>
          <w:tab w:val="left" w:pos="711"/>
        </w:tabs>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3.竣工验收：合同约定的全部施工内容完成、自检合格、现场清理完毕、竣工资料齐全后，由供应商提出验收申请，采购人按合同约定组织竣工验收。</w:t>
      </w:r>
    </w:p>
    <w:p w14:paraId="551E8577">
      <w:pPr>
        <w:keepNext w:val="0"/>
        <w:keepLines w:val="0"/>
        <w:pageBreakBefore w:val="0"/>
        <w:widowControl/>
        <w:tabs>
          <w:tab w:val="left" w:pos="711"/>
        </w:tabs>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4.整改复验：验收不合格的，供应商应按书面整改要求限期整改，整改完成后重新验收。</w:t>
      </w:r>
    </w:p>
    <w:p w14:paraId="57EB32F6">
      <w:pPr>
        <w:keepNext w:val="0"/>
        <w:keepLines w:val="0"/>
        <w:pageBreakBefore w:val="0"/>
        <w:widowControl/>
        <w:tabs>
          <w:tab w:val="left" w:pos="711"/>
        </w:tabs>
        <w:kinsoku/>
        <w:wordWrap/>
        <w:overflowPunct/>
        <w:topLinePunct w:val="0"/>
        <w:autoSpaceDE/>
        <w:autoSpaceDN/>
        <w:bidi w:val="0"/>
        <w:adjustRightInd/>
        <w:snapToGrid/>
        <w:spacing w:line="480" w:lineRule="auto"/>
        <w:ind w:firstLine="482" w:firstLineChars="200"/>
        <w:textAlignment w:val="auto"/>
        <w:outlineLvl w:val="9"/>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bCs/>
          <w:color w:val="000000"/>
          <w:kern w:val="0"/>
          <w:sz w:val="24"/>
          <w:szCs w:val="24"/>
          <w:highlight w:val="none"/>
          <w:lang w:val="en-US" w:eastAsia="zh-CN" w:bidi="ar-SA"/>
        </w:rPr>
        <w:t>（三）履约验收方式：</w:t>
      </w:r>
      <w:r>
        <w:rPr>
          <w:rFonts w:hint="eastAsia" w:ascii="宋体" w:hAnsi="宋体" w:eastAsia="宋体" w:cs="宋体"/>
          <w:b w:val="0"/>
          <w:bCs w:val="0"/>
          <w:color w:val="000000"/>
          <w:kern w:val="0"/>
          <w:sz w:val="24"/>
          <w:szCs w:val="24"/>
          <w:highlight w:val="none"/>
          <w:lang w:val="en-US" w:eastAsia="zh-CN" w:bidi="ar-SA"/>
        </w:rPr>
        <w:t>采取“资料审查 + 现场查验 + 实测实量 + 必要时第三方检测”的方式。</w:t>
      </w:r>
    </w:p>
    <w:p w14:paraId="750F2E9A">
      <w:pPr>
        <w:keepNext w:val="0"/>
        <w:keepLines w:val="0"/>
        <w:pageBreakBefore w:val="0"/>
        <w:widowControl/>
        <w:tabs>
          <w:tab w:val="left" w:pos="711"/>
        </w:tabs>
        <w:kinsoku/>
        <w:wordWrap/>
        <w:overflowPunct/>
        <w:topLinePunct w:val="0"/>
        <w:autoSpaceDE/>
        <w:autoSpaceDN/>
        <w:bidi w:val="0"/>
        <w:adjustRightInd/>
        <w:snapToGrid/>
        <w:spacing w:line="480" w:lineRule="auto"/>
        <w:ind w:firstLine="482" w:firstLineChars="200"/>
        <w:jc w:val="left"/>
        <w:textAlignment w:val="auto"/>
        <w:outlineLvl w:val="9"/>
        <w:rPr>
          <w:rFonts w:hint="eastAsia" w:ascii="宋体" w:hAnsi="宋体" w:eastAsia="宋体" w:cs="宋体"/>
          <w:b/>
          <w:bCs/>
          <w:color w:val="000000"/>
          <w:kern w:val="0"/>
          <w:sz w:val="24"/>
          <w:szCs w:val="24"/>
          <w:highlight w:val="none"/>
          <w:lang w:val="en-US" w:eastAsia="zh-CN" w:bidi="ar-SA"/>
        </w:rPr>
      </w:pPr>
      <w:r>
        <w:rPr>
          <w:rFonts w:hint="eastAsia" w:ascii="宋体" w:hAnsi="宋体" w:eastAsia="宋体" w:cs="宋体"/>
          <w:b/>
          <w:bCs/>
          <w:color w:val="000000"/>
          <w:kern w:val="0"/>
          <w:sz w:val="24"/>
          <w:szCs w:val="24"/>
          <w:highlight w:val="none"/>
          <w:lang w:val="en-US" w:eastAsia="zh-CN" w:bidi="ar-SA"/>
        </w:rPr>
        <w:t>（四）履约验收程序：</w:t>
      </w:r>
    </w:p>
    <w:p w14:paraId="19FC1046">
      <w:pPr>
        <w:keepNext w:val="0"/>
        <w:keepLines w:val="0"/>
        <w:pageBreakBefore w:val="0"/>
        <w:widowControl/>
        <w:tabs>
          <w:tab w:val="left" w:pos="711"/>
        </w:tabs>
        <w:kinsoku/>
        <w:wordWrap/>
        <w:overflowPunct/>
        <w:topLinePunct w:val="0"/>
        <w:autoSpaceDE/>
        <w:autoSpaceDN/>
        <w:bidi w:val="0"/>
        <w:adjustRightInd/>
        <w:snapToGrid/>
        <w:spacing w:line="480" w:lineRule="auto"/>
        <w:ind w:firstLine="480" w:firstLineChars="200"/>
        <w:jc w:val="left"/>
        <w:textAlignment w:val="auto"/>
        <w:outlineLvl w:val="9"/>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1.供应商完成合同约定内容并自检合格后，提交竣工验收申请及完整资料。</w:t>
      </w:r>
    </w:p>
    <w:p w14:paraId="2E12D3A6">
      <w:pPr>
        <w:keepNext w:val="0"/>
        <w:keepLines w:val="0"/>
        <w:pageBreakBefore w:val="0"/>
        <w:widowControl/>
        <w:tabs>
          <w:tab w:val="left" w:pos="711"/>
        </w:tabs>
        <w:kinsoku/>
        <w:wordWrap/>
        <w:overflowPunct/>
        <w:topLinePunct w:val="0"/>
        <w:autoSpaceDE/>
        <w:autoSpaceDN/>
        <w:bidi w:val="0"/>
        <w:adjustRightInd/>
        <w:snapToGrid/>
        <w:spacing w:line="480" w:lineRule="auto"/>
        <w:ind w:firstLine="480" w:firstLineChars="200"/>
        <w:jc w:val="left"/>
        <w:textAlignment w:val="auto"/>
        <w:outlineLvl w:val="9"/>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2.采购人审查资料是否齐全，具备验收条件后组织验收小组开展验收。</w:t>
      </w:r>
    </w:p>
    <w:p w14:paraId="7346E62B">
      <w:pPr>
        <w:keepNext w:val="0"/>
        <w:keepLines w:val="0"/>
        <w:pageBreakBefore w:val="0"/>
        <w:widowControl/>
        <w:tabs>
          <w:tab w:val="left" w:pos="711"/>
        </w:tabs>
        <w:kinsoku/>
        <w:wordWrap/>
        <w:overflowPunct/>
        <w:topLinePunct w:val="0"/>
        <w:autoSpaceDE/>
        <w:autoSpaceDN/>
        <w:bidi w:val="0"/>
        <w:adjustRightInd/>
        <w:snapToGrid/>
        <w:spacing w:line="480" w:lineRule="auto"/>
        <w:ind w:firstLine="480" w:firstLineChars="200"/>
        <w:jc w:val="left"/>
        <w:textAlignment w:val="auto"/>
        <w:outlineLvl w:val="9"/>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3.验收小组按采购文件、响应文件、合同、设计文件及相关规范逐项核对。</w:t>
      </w:r>
    </w:p>
    <w:p w14:paraId="5F69C3DF">
      <w:pPr>
        <w:keepNext w:val="0"/>
        <w:keepLines w:val="0"/>
        <w:pageBreakBefore w:val="0"/>
        <w:widowControl/>
        <w:tabs>
          <w:tab w:val="left" w:pos="711"/>
        </w:tabs>
        <w:kinsoku/>
        <w:wordWrap/>
        <w:overflowPunct/>
        <w:topLinePunct w:val="0"/>
        <w:autoSpaceDE/>
        <w:autoSpaceDN/>
        <w:bidi w:val="0"/>
        <w:adjustRightInd/>
        <w:snapToGrid/>
        <w:spacing w:line="480" w:lineRule="auto"/>
        <w:ind w:firstLine="480" w:firstLineChars="200"/>
        <w:jc w:val="left"/>
        <w:textAlignment w:val="auto"/>
        <w:outlineLvl w:val="9"/>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4.对发现的问题形成书面记录，明确整改内容、时限和复验要求。</w:t>
      </w:r>
    </w:p>
    <w:p w14:paraId="7E04323B">
      <w:pPr>
        <w:keepNext w:val="0"/>
        <w:keepLines w:val="0"/>
        <w:pageBreakBefore w:val="0"/>
        <w:widowControl/>
        <w:tabs>
          <w:tab w:val="left" w:pos="711"/>
        </w:tabs>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b w:val="0"/>
          <w:bCs w:val="0"/>
          <w:color w:val="000000"/>
          <w:kern w:val="0"/>
          <w:sz w:val="24"/>
          <w:szCs w:val="24"/>
          <w:lang w:val="en-US" w:eastAsia="zh-CN" w:bidi="ar-SA"/>
        </w:rPr>
      </w:pPr>
      <w:r>
        <w:rPr>
          <w:rFonts w:hint="eastAsia" w:ascii="宋体" w:hAnsi="宋体" w:eastAsia="宋体" w:cs="宋体"/>
          <w:b w:val="0"/>
          <w:bCs w:val="0"/>
          <w:color w:val="000000"/>
          <w:kern w:val="0"/>
          <w:sz w:val="24"/>
          <w:szCs w:val="24"/>
          <w:highlight w:val="none"/>
          <w:lang w:val="en-US" w:eastAsia="zh-CN" w:bidi="ar-SA"/>
        </w:rPr>
        <w:t>5.验收合格后出具验收意见或验收书，由验收小组成员及供应商签字确认。</w:t>
      </w:r>
    </w:p>
    <w:p w14:paraId="73D4B223">
      <w:pPr>
        <w:keepNext w:val="0"/>
        <w:keepLines w:val="0"/>
        <w:pageBreakBefore w:val="0"/>
        <w:widowControl/>
        <w:numPr>
          <w:ilvl w:val="0"/>
          <w:numId w:val="0"/>
        </w:numPr>
        <w:tabs>
          <w:tab w:val="left" w:pos="711"/>
        </w:tabs>
        <w:kinsoku/>
        <w:wordWrap/>
        <w:overflowPunct/>
        <w:topLinePunct w:val="0"/>
        <w:autoSpaceDE/>
        <w:autoSpaceDN/>
        <w:bidi w:val="0"/>
        <w:adjustRightInd/>
        <w:snapToGrid/>
        <w:spacing w:line="480" w:lineRule="auto"/>
        <w:ind w:firstLine="482" w:firstLineChars="200"/>
        <w:textAlignment w:val="auto"/>
        <w:outlineLvl w:val="9"/>
        <w:rPr>
          <w:rFonts w:hint="eastAsia" w:ascii="宋体" w:hAnsi="宋体" w:eastAsia="宋体" w:cs="宋体"/>
          <w:b/>
          <w:bCs/>
          <w:color w:val="000000"/>
          <w:kern w:val="0"/>
          <w:sz w:val="24"/>
          <w:szCs w:val="24"/>
          <w:highlight w:val="none"/>
          <w:lang w:val="en-US" w:eastAsia="zh-CN" w:bidi="ar-SA"/>
        </w:rPr>
      </w:pPr>
      <w:r>
        <w:rPr>
          <w:rFonts w:hint="eastAsia" w:ascii="宋体" w:hAnsi="宋体" w:eastAsia="宋体" w:cs="宋体"/>
          <w:b/>
          <w:bCs/>
          <w:color w:val="000000"/>
          <w:kern w:val="0"/>
          <w:sz w:val="24"/>
          <w:szCs w:val="24"/>
          <w:highlight w:val="none"/>
          <w:lang w:val="en-US" w:eastAsia="zh-CN" w:bidi="ar-SA"/>
        </w:rPr>
        <w:t>（五）</w:t>
      </w:r>
      <w:r>
        <w:rPr>
          <w:rFonts w:hint="eastAsia" w:ascii="宋体" w:hAnsi="宋体" w:eastAsia="宋体" w:cs="宋体"/>
          <w:b/>
          <w:bCs/>
          <w:color w:val="000000"/>
          <w:kern w:val="0"/>
          <w:sz w:val="24"/>
          <w:szCs w:val="24"/>
          <w:lang w:val="zh-CN"/>
        </w:rPr>
        <w:t>履约验收内容</w:t>
      </w:r>
      <w:r>
        <w:rPr>
          <w:rFonts w:hint="eastAsia" w:ascii="宋体" w:hAnsi="宋体" w:eastAsia="宋体" w:cs="宋体"/>
          <w:b/>
          <w:bCs/>
          <w:color w:val="000000"/>
          <w:kern w:val="0"/>
          <w:sz w:val="24"/>
          <w:szCs w:val="24"/>
          <w:highlight w:val="none"/>
          <w:lang w:val="en-US" w:eastAsia="zh-CN" w:bidi="ar-SA"/>
        </w:rPr>
        <w:t>：</w:t>
      </w:r>
    </w:p>
    <w:p w14:paraId="78622484">
      <w:pPr>
        <w:keepNext w:val="0"/>
        <w:keepLines w:val="0"/>
        <w:pageBreakBefore w:val="0"/>
        <w:widowControl/>
        <w:numPr>
          <w:ilvl w:val="0"/>
          <w:numId w:val="0"/>
        </w:numPr>
        <w:tabs>
          <w:tab w:val="left" w:pos="711"/>
        </w:tabs>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1.混凝土结构修补：裂缝封闭、凿除修补、钢筋除锈阻锈、表面恢复。</w:t>
      </w:r>
    </w:p>
    <w:p w14:paraId="281D6A76">
      <w:pPr>
        <w:keepNext w:val="0"/>
        <w:keepLines w:val="0"/>
        <w:pageBreakBefore w:val="0"/>
        <w:widowControl/>
        <w:numPr>
          <w:ilvl w:val="0"/>
          <w:numId w:val="0"/>
        </w:numPr>
        <w:tabs>
          <w:tab w:val="left" w:pos="711"/>
        </w:tabs>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2.涂装防腐：钢构件或混凝土构件表面除锈、底漆、中间漆、面漆及涂层厚度。</w:t>
      </w:r>
    </w:p>
    <w:p w14:paraId="790AFBBC">
      <w:pPr>
        <w:keepNext w:val="0"/>
        <w:keepLines w:val="0"/>
        <w:pageBreakBefore w:val="0"/>
        <w:widowControl/>
        <w:numPr>
          <w:ilvl w:val="0"/>
          <w:numId w:val="0"/>
        </w:numPr>
        <w:tabs>
          <w:tab w:val="left" w:pos="711"/>
        </w:tabs>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3.桥面铺装：环氧薄层、彩色压花混凝土或原铺装恢复的平整度、粘结性、抗滑性。</w:t>
      </w:r>
    </w:p>
    <w:p w14:paraId="788FF023">
      <w:pPr>
        <w:keepNext w:val="0"/>
        <w:keepLines w:val="0"/>
        <w:pageBreakBefore w:val="0"/>
        <w:widowControl/>
        <w:numPr>
          <w:ilvl w:val="0"/>
          <w:numId w:val="0"/>
        </w:numPr>
        <w:tabs>
          <w:tab w:val="left" w:pos="711"/>
        </w:tabs>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4.伸缩缝：伸缩缝更换或维修后的缝宽、高差、锚固、防水和伸缩性能。</w:t>
      </w:r>
    </w:p>
    <w:p w14:paraId="0B4BF049">
      <w:pPr>
        <w:keepNext w:val="0"/>
        <w:keepLines w:val="0"/>
        <w:pageBreakBefore w:val="0"/>
        <w:widowControl/>
        <w:numPr>
          <w:ilvl w:val="0"/>
          <w:numId w:val="0"/>
        </w:numPr>
        <w:tabs>
          <w:tab w:val="left" w:pos="711"/>
        </w:tabs>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5.栏杆及焊接：栏杆修复、焊接质量、连接牢固度、高度和线形。</w:t>
      </w:r>
    </w:p>
    <w:p w14:paraId="31A4B410">
      <w:pPr>
        <w:keepNext w:val="0"/>
        <w:keepLines w:val="0"/>
        <w:pageBreakBefore w:val="0"/>
        <w:widowControl/>
        <w:numPr>
          <w:ilvl w:val="0"/>
          <w:numId w:val="0"/>
        </w:numPr>
        <w:tabs>
          <w:tab w:val="left" w:pos="711"/>
        </w:tabs>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6.排水及附属设施：泄水管、排水槽、标识、围挡恢复、成品保护。</w:t>
      </w:r>
    </w:p>
    <w:p w14:paraId="7CDA794E">
      <w:pPr>
        <w:keepNext w:val="0"/>
        <w:keepLines w:val="0"/>
        <w:pageBreakBefore w:val="0"/>
        <w:widowControl/>
        <w:numPr>
          <w:ilvl w:val="0"/>
          <w:numId w:val="0"/>
        </w:numPr>
        <w:tabs>
          <w:tab w:val="left" w:pos="711"/>
        </w:tabs>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7.安全文明施工：交通组织、围挡设置、垃圾清运、现场恢复。</w:t>
      </w:r>
    </w:p>
    <w:p w14:paraId="4053A91D">
      <w:pPr>
        <w:keepNext w:val="0"/>
        <w:keepLines w:val="0"/>
        <w:pageBreakBefore w:val="0"/>
        <w:widowControl/>
        <w:numPr>
          <w:ilvl w:val="0"/>
          <w:numId w:val="0"/>
        </w:numPr>
        <w:tabs>
          <w:tab w:val="left" w:pos="711"/>
        </w:tabs>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8.竣工资料：施工记录、隐蔽验收记录等。</w:t>
      </w:r>
    </w:p>
    <w:p w14:paraId="7B1DE2C8">
      <w:pPr>
        <w:keepNext w:val="0"/>
        <w:keepLines w:val="0"/>
        <w:pageBreakBefore w:val="0"/>
        <w:widowControl w:val="0"/>
        <w:kinsoku/>
        <w:wordWrap/>
        <w:overflowPunct/>
        <w:topLinePunct w:val="0"/>
        <w:autoSpaceDE/>
        <w:autoSpaceDN/>
        <w:bidi w:val="0"/>
        <w:adjustRightInd/>
        <w:snapToGrid/>
        <w:spacing w:line="480" w:lineRule="auto"/>
        <w:ind w:firstLine="482" w:firstLineChars="200"/>
        <w:jc w:val="left"/>
        <w:textAlignment w:val="auto"/>
        <w:outlineLvl w:val="9"/>
        <w:rPr>
          <w:rFonts w:hint="eastAsia" w:ascii="宋体" w:hAnsi="宋体" w:eastAsia="宋体" w:cs="宋体"/>
          <w:b/>
          <w:bCs/>
          <w:color w:val="000000"/>
          <w:kern w:val="0"/>
          <w:sz w:val="24"/>
          <w:szCs w:val="24"/>
          <w:highlight w:val="none"/>
          <w:lang w:val="en-US" w:eastAsia="zh-CN" w:bidi="ar-SA"/>
        </w:rPr>
      </w:pPr>
      <w:r>
        <w:rPr>
          <w:rFonts w:hint="eastAsia" w:ascii="宋体" w:hAnsi="宋体" w:eastAsia="宋体" w:cs="宋体"/>
          <w:b/>
          <w:bCs/>
          <w:color w:val="000000"/>
          <w:kern w:val="0"/>
          <w:sz w:val="24"/>
          <w:szCs w:val="24"/>
          <w:highlight w:val="none"/>
          <w:lang w:val="en-US" w:eastAsia="zh-CN" w:bidi="ar-SA"/>
        </w:rPr>
        <w:t>（六）履约验收标准：</w:t>
      </w:r>
    </w:p>
    <w:p w14:paraId="2C5110E0">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left"/>
        <w:textAlignment w:val="auto"/>
        <w:outlineLvl w:val="9"/>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kern w:val="2"/>
          <w:sz w:val="24"/>
          <w:szCs w:val="24"/>
          <w:highlight w:val="none"/>
          <w:lang w:val="zh-CN" w:eastAsia="zh-CN" w:bidi="ar-SA"/>
        </w:rPr>
        <w:t>履约验收标准需执行的国家相关法律法规、标准、行业标准、地方标准或者其他标准、规范，包括但不限于以下内容：</w:t>
      </w:r>
      <w:r>
        <w:rPr>
          <w:rFonts w:hint="eastAsia" w:ascii="宋体" w:hAnsi="宋体" w:eastAsia="宋体" w:cs="宋体"/>
          <w:color w:val="auto"/>
          <w:spacing w:val="0"/>
          <w:kern w:val="2"/>
          <w:position w:val="0"/>
          <w:sz w:val="24"/>
          <w:szCs w:val="24"/>
          <w:highlight w:val="none"/>
          <w:lang w:val="zh-CN" w:eastAsia="zh-CN" w:bidi="ar-SA"/>
        </w:rPr>
        <w:t>《公路桥梁钢结构防腐涂装技术条件》（JT-T 722-2023）</w:t>
      </w:r>
      <w:r>
        <w:rPr>
          <w:rFonts w:hint="eastAsia" w:ascii="宋体" w:hAnsi="宋体" w:eastAsia="宋体" w:cs="宋体"/>
          <w:b w:val="0"/>
          <w:bCs w:val="0"/>
          <w:color w:val="auto"/>
          <w:sz w:val="24"/>
          <w:szCs w:val="24"/>
          <w:highlight w:val="none"/>
          <w:lang w:val="zh-CN" w:eastAsia="zh-CN"/>
        </w:rPr>
        <w:t xml:space="preserve">、《混凝土桥梁结构表面涂层防腐技术条件》（JT/T695-2007） 、《城市桥梁养护技术标准》（CJJ99-2017）、《公路桥梁加固施工技术规范》（JTG-T 5531-2025）、《公路桥涵养护规范》（JTG 5120-2021）等规范要求。 </w:t>
      </w:r>
    </w:p>
    <w:p w14:paraId="071D3420">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auto"/>
          <w:kern w:val="2"/>
          <w:sz w:val="24"/>
          <w:szCs w:val="24"/>
          <w:highlight w:val="none"/>
          <w:lang w:val="zh-CN" w:eastAsia="zh-CN" w:bidi="ar-SA"/>
        </w:rPr>
        <w:t>如上述要求高于国家有关部门颁布的最新国家标准、行业标准或地方标准的，按上述要求执行；低于国家有关部门颁布的最新国家标准、行业标准或地方标准的，按有关标准执行。</w:t>
      </w:r>
      <w:r>
        <w:rPr>
          <w:rFonts w:hint="eastAsia" w:ascii="宋体" w:hAnsi="宋体" w:eastAsia="宋体" w:cs="宋体"/>
          <w:b w:val="0"/>
          <w:bCs w:val="0"/>
          <w:color w:val="auto"/>
          <w:kern w:val="2"/>
          <w:sz w:val="24"/>
          <w:szCs w:val="24"/>
          <w:highlight w:val="none"/>
          <w:lang w:val="en-US" w:eastAsia="zh-CN" w:bidi="ar-SA"/>
        </w:rPr>
        <w:t>若有更新的标准开始实行，则以新的标准要求为准。</w:t>
      </w:r>
    </w:p>
    <w:p w14:paraId="657F7088">
      <w:pPr>
        <w:jc w:val="center"/>
        <w:rPr>
          <w:rFonts w:hint="eastAsia" w:ascii="宋体" w:hAnsi="宋体" w:eastAsia="宋体" w:cs="宋体"/>
          <w:b/>
          <w:bCs/>
          <w:color w:val="auto"/>
          <w:kern w:val="2"/>
          <w:sz w:val="24"/>
          <w:szCs w:val="24"/>
          <w:highlight w:val="none"/>
          <w:lang w:val="zh-CN" w:eastAsia="zh-CN" w:bidi="ar-SA"/>
        </w:rPr>
      </w:pPr>
    </w:p>
    <w:p w14:paraId="2269728B">
      <w:pPr>
        <w:rPr>
          <w:rFonts w:hint="eastAsia" w:ascii="宋体" w:hAnsi="宋体" w:eastAsia="宋体" w:cs="宋体"/>
          <w:b/>
          <w:bCs/>
          <w:kern w:val="2"/>
          <w:sz w:val="24"/>
          <w:szCs w:val="24"/>
          <w:lang w:val="zh-CN" w:eastAsia="zh-CN" w:bidi="ar-SA"/>
        </w:rPr>
      </w:pPr>
      <w:bookmarkStart w:id="96" w:name="_Toc23697"/>
      <w:bookmarkStart w:id="97" w:name="_Toc8549"/>
      <w:bookmarkStart w:id="98" w:name="_Toc25946"/>
      <w:bookmarkStart w:id="99" w:name="_Toc23383"/>
      <w:bookmarkStart w:id="100" w:name="_Toc18143"/>
      <w:bookmarkStart w:id="101" w:name="_Toc2446"/>
      <w:bookmarkStart w:id="102" w:name="_Toc12066"/>
      <w:bookmarkStart w:id="103" w:name="_Toc15051"/>
      <w:bookmarkStart w:id="104" w:name="_Toc20768"/>
      <w:bookmarkStart w:id="105" w:name="_Toc29099"/>
      <w:bookmarkStart w:id="106" w:name="_Toc14808"/>
      <w:bookmarkStart w:id="107" w:name="_Toc14642"/>
      <w:r>
        <w:rPr>
          <w:rFonts w:hint="eastAsia" w:ascii="宋体" w:hAnsi="宋体" w:eastAsia="宋体" w:cs="宋体"/>
          <w:b/>
          <w:bCs/>
          <w:kern w:val="2"/>
          <w:sz w:val="24"/>
          <w:szCs w:val="24"/>
          <w:lang w:val="zh-CN" w:eastAsia="zh-CN" w:bidi="ar-SA"/>
        </w:rPr>
        <w:br w:type="page"/>
      </w:r>
    </w:p>
    <w:p w14:paraId="1C880DC6">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center"/>
        <w:textAlignment w:val="auto"/>
        <w:outlineLvl w:val="2"/>
        <w:rPr>
          <w:rFonts w:hint="eastAsia" w:ascii="宋体" w:hAnsi="宋体" w:eastAsia="宋体" w:cs="宋体"/>
          <w:b/>
          <w:bCs/>
          <w:kern w:val="2"/>
          <w:sz w:val="24"/>
          <w:szCs w:val="24"/>
          <w:lang w:val="zh-CN" w:eastAsia="zh-CN" w:bidi="ar-SA"/>
        </w:rPr>
      </w:pPr>
      <w:r>
        <w:rPr>
          <w:rFonts w:hint="eastAsia" w:ascii="宋体" w:hAnsi="宋体" w:eastAsia="宋体" w:cs="宋体"/>
          <w:b/>
          <w:bCs/>
          <w:kern w:val="2"/>
          <w:sz w:val="24"/>
          <w:szCs w:val="24"/>
          <w:lang w:val="zh-CN" w:eastAsia="zh-CN" w:bidi="ar-SA"/>
        </w:rPr>
        <w:t>三、评分标准</w:t>
      </w:r>
      <w:bookmarkEnd w:id="96"/>
      <w:bookmarkEnd w:id="97"/>
      <w:bookmarkEnd w:id="98"/>
      <w:bookmarkEnd w:id="99"/>
      <w:bookmarkEnd w:id="100"/>
      <w:bookmarkEnd w:id="101"/>
      <w:bookmarkEnd w:id="102"/>
      <w:bookmarkEnd w:id="103"/>
      <w:bookmarkEnd w:id="104"/>
      <w:bookmarkEnd w:id="105"/>
      <w:bookmarkEnd w:id="106"/>
      <w:bookmarkEnd w:id="107"/>
      <w:bookmarkStart w:id="108" w:name="_GoBack"/>
      <w:bookmarkEnd w:id="108"/>
    </w:p>
    <w:tbl>
      <w:tblPr>
        <w:tblStyle w:val="5"/>
        <w:tblW w:w="90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7"/>
        <w:gridCol w:w="1275"/>
        <w:gridCol w:w="5745"/>
        <w:gridCol w:w="825"/>
      </w:tblGrid>
      <w:tr w14:paraId="1E062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27" w:type="dxa"/>
            <w:noWrap w:val="0"/>
            <w:vAlign w:val="center"/>
          </w:tcPr>
          <w:p w14:paraId="00290D72">
            <w:pPr>
              <w:shd w:val="clear" w:color="auto" w:fill="auto"/>
              <w:wordWrap/>
              <w:spacing w:line="240" w:lineRule="auto"/>
              <w:jc w:val="center"/>
              <w:outlineLvl w:val="9"/>
              <w:rPr>
                <w:rFonts w:hint="eastAsia" w:ascii="宋体" w:hAnsi="宋体" w:eastAsia="宋体" w:cs="宋体"/>
                <w:b/>
                <w:bCs/>
                <w:sz w:val="24"/>
                <w:szCs w:val="24"/>
              </w:rPr>
            </w:pPr>
            <w:r>
              <w:rPr>
                <w:rFonts w:hint="eastAsia" w:ascii="宋体" w:hAnsi="宋体" w:eastAsia="宋体" w:cs="宋体"/>
                <w:b/>
                <w:bCs/>
                <w:sz w:val="24"/>
                <w:szCs w:val="24"/>
              </w:rPr>
              <w:t>评分项目</w:t>
            </w:r>
          </w:p>
        </w:tc>
        <w:tc>
          <w:tcPr>
            <w:tcW w:w="1275" w:type="dxa"/>
            <w:noWrap w:val="0"/>
            <w:vAlign w:val="center"/>
          </w:tcPr>
          <w:p w14:paraId="3CE7DC0E">
            <w:pPr>
              <w:shd w:val="clear" w:color="auto" w:fill="auto"/>
              <w:wordWrap/>
              <w:spacing w:line="240" w:lineRule="auto"/>
              <w:jc w:val="center"/>
              <w:outlineLvl w:val="9"/>
              <w:rPr>
                <w:rFonts w:hint="eastAsia" w:ascii="宋体" w:hAnsi="宋体" w:eastAsia="宋体" w:cs="宋体"/>
                <w:b/>
                <w:bCs/>
                <w:sz w:val="24"/>
                <w:szCs w:val="24"/>
              </w:rPr>
            </w:pPr>
            <w:r>
              <w:rPr>
                <w:rFonts w:hint="eastAsia" w:ascii="宋体" w:hAnsi="宋体" w:eastAsia="宋体" w:cs="宋体"/>
                <w:b/>
                <w:bCs/>
                <w:sz w:val="24"/>
                <w:szCs w:val="24"/>
              </w:rPr>
              <w:t>评审因素</w:t>
            </w:r>
          </w:p>
        </w:tc>
        <w:tc>
          <w:tcPr>
            <w:tcW w:w="5745" w:type="dxa"/>
            <w:noWrap w:val="0"/>
            <w:vAlign w:val="center"/>
          </w:tcPr>
          <w:p w14:paraId="312A87DB">
            <w:pPr>
              <w:shd w:val="clear" w:color="auto" w:fill="auto"/>
              <w:wordWrap/>
              <w:spacing w:line="240" w:lineRule="auto"/>
              <w:jc w:val="center"/>
              <w:outlineLvl w:val="9"/>
              <w:rPr>
                <w:rFonts w:hint="eastAsia" w:ascii="宋体" w:hAnsi="宋体" w:eastAsia="宋体" w:cs="宋体"/>
                <w:b/>
                <w:bCs/>
                <w:sz w:val="24"/>
                <w:szCs w:val="24"/>
              </w:rPr>
            </w:pPr>
            <w:r>
              <w:rPr>
                <w:rFonts w:hint="eastAsia" w:ascii="宋体" w:hAnsi="宋体" w:eastAsia="宋体" w:cs="宋体"/>
                <w:b/>
                <w:bCs/>
                <w:sz w:val="24"/>
                <w:szCs w:val="24"/>
              </w:rPr>
              <w:t>评分标准</w:t>
            </w:r>
          </w:p>
        </w:tc>
        <w:tc>
          <w:tcPr>
            <w:tcW w:w="825" w:type="dxa"/>
            <w:noWrap w:val="0"/>
            <w:vAlign w:val="center"/>
          </w:tcPr>
          <w:p w14:paraId="15BF2249">
            <w:pPr>
              <w:shd w:val="clear" w:color="auto" w:fill="auto"/>
              <w:wordWrap/>
              <w:spacing w:line="240" w:lineRule="auto"/>
              <w:jc w:val="center"/>
              <w:outlineLvl w:val="9"/>
              <w:rPr>
                <w:rFonts w:hint="eastAsia" w:ascii="宋体" w:hAnsi="宋体" w:eastAsia="宋体" w:cs="宋体"/>
                <w:b/>
                <w:bCs/>
                <w:sz w:val="24"/>
                <w:szCs w:val="24"/>
              </w:rPr>
            </w:pPr>
            <w:r>
              <w:rPr>
                <w:rFonts w:hint="eastAsia" w:ascii="宋体" w:hAnsi="宋体" w:eastAsia="宋体" w:cs="宋体"/>
                <w:b/>
                <w:bCs/>
                <w:sz w:val="24"/>
                <w:szCs w:val="24"/>
              </w:rPr>
              <w:t>分值</w:t>
            </w:r>
          </w:p>
        </w:tc>
      </w:tr>
      <w:tr w14:paraId="6F4A5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27" w:type="dxa"/>
            <w:noWrap w:val="0"/>
            <w:vAlign w:val="center"/>
          </w:tcPr>
          <w:p w14:paraId="7475C713">
            <w:pPr>
              <w:wordWrap/>
              <w:spacing w:line="360" w:lineRule="auto"/>
              <w:jc w:val="center"/>
              <w:outlineLvl w:val="9"/>
              <w:rPr>
                <w:rFonts w:hint="eastAsia" w:ascii="宋体" w:hAnsi="宋体" w:eastAsia="宋体" w:cs="宋体"/>
                <w:sz w:val="24"/>
                <w:szCs w:val="24"/>
                <w:lang w:val="en-US" w:eastAsia="zh-CN"/>
              </w:rPr>
            </w:pPr>
            <w:r>
              <w:rPr>
                <w:rFonts w:hint="eastAsia" w:ascii="宋体" w:hAnsi="宋体" w:eastAsia="宋体" w:cs="宋体"/>
                <w:sz w:val="24"/>
                <w:szCs w:val="24"/>
              </w:rPr>
              <w:t>价格</w:t>
            </w:r>
            <w:r>
              <w:rPr>
                <w:rFonts w:hint="eastAsia" w:ascii="宋体" w:hAnsi="宋体" w:eastAsia="宋体" w:cs="宋体"/>
                <w:sz w:val="24"/>
                <w:szCs w:val="24"/>
                <w:lang w:val="en-US" w:eastAsia="zh-CN"/>
              </w:rPr>
              <w:t>部分</w:t>
            </w:r>
          </w:p>
          <w:p w14:paraId="06927BBE">
            <w:pPr>
              <w:wordWrap/>
              <w:spacing w:line="360" w:lineRule="auto"/>
              <w:jc w:val="center"/>
              <w:outlineLvl w:val="9"/>
              <w:rPr>
                <w:rFonts w:hint="eastAsia" w:ascii="宋体" w:hAnsi="宋体" w:eastAsia="宋体" w:cs="宋体"/>
                <w:sz w:val="24"/>
                <w:szCs w:val="24"/>
              </w:rPr>
            </w:pPr>
            <w:r>
              <w:rPr>
                <w:rFonts w:hint="eastAsia" w:ascii="宋体" w:hAnsi="宋体" w:eastAsia="宋体" w:cs="宋体"/>
                <w:sz w:val="24"/>
                <w:szCs w:val="24"/>
              </w:rPr>
              <w:t>（10分）</w:t>
            </w:r>
          </w:p>
        </w:tc>
        <w:tc>
          <w:tcPr>
            <w:tcW w:w="1275" w:type="dxa"/>
            <w:noWrap w:val="0"/>
            <w:vAlign w:val="center"/>
          </w:tcPr>
          <w:p w14:paraId="19191FA0">
            <w:pPr>
              <w:wordWrap/>
              <w:spacing w:line="360" w:lineRule="auto"/>
              <w:jc w:val="center"/>
              <w:outlineLvl w:val="9"/>
              <w:rPr>
                <w:rFonts w:hint="eastAsia" w:ascii="宋体" w:hAnsi="宋体" w:eastAsia="宋体" w:cs="宋体"/>
                <w:sz w:val="24"/>
                <w:szCs w:val="24"/>
              </w:rPr>
            </w:pPr>
            <w:r>
              <w:rPr>
                <w:rFonts w:hint="eastAsia" w:ascii="宋体" w:hAnsi="宋体" w:eastAsia="宋体" w:cs="宋体"/>
                <w:sz w:val="24"/>
                <w:szCs w:val="24"/>
              </w:rPr>
              <w:t>报价</w:t>
            </w:r>
          </w:p>
        </w:tc>
        <w:tc>
          <w:tcPr>
            <w:tcW w:w="5745" w:type="dxa"/>
            <w:noWrap w:val="0"/>
            <w:vAlign w:val="center"/>
          </w:tcPr>
          <w:p w14:paraId="4B254B41">
            <w:pPr>
              <w:wordWrap/>
              <w:spacing w:line="360" w:lineRule="auto"/>
              <w:ind w:firstLine="480" w:firstLineChars="200"/>
              <w:jc w:val="left"/>
              <w:outlineLvl w:val="9"/>
              <w:rPr>
                <w:rFonts w:hint="eastAsia" w:ascii="宋体" w:hAnsi="宋体" w:eastAsia="宋体" w:cs="宋体"/>
                <w:sz w:val="24"/>
                <w:szCs w:val="24"/>
              </w:rPr>
            </w:pPr>
            <w:r>
              <w:rPr>
                <w:rFonts w:hint="eastAsia" w:ascii="宋体" w:hAnsi="宋体" w:eastAsia="宋体" w:cs="宋体"/>
                <w:sz w:val="24"/>
                <w:szCs w:val="24"/>
              </w:rPr>
              <w:t>磋商小组只对资格性检查和符合性检查合格的响应文件进行价格评议，报价分采用低价优先法计算，即满足磋商文件要求且投标价格最低的投标报价为评标基准价，其报价分为10分。其他供应商的报价分按照下列公式计算：报价分=(评标基准价/投标报价)×10%×100。</w:t>
            </w:r>
          </w:p>
        </w:tc>
        <w:tc>
          <w:tcPr>
            <w:tcW w:w="825" w:type="dxa"/>
            <w:noWrap w:val="0"/>
            <w:vAlign w:val="center"/>
          </w:tcPr>
          <w:p w14:paraId="04B1C75D">
            <w:pPr>
              <w:wordWrap/>
              <w:spacing w:line="360" w:lineRule="auto"/>
              <w:jc w:val="center"/>
              <w:outlineLvl w:val="9"/>
              <w:rPr>
                <w:rFonts w:hint="eastAsia" w:ascii="宋体" w:hAnsi="宋体" w:eastAsia="宋体" w:cs="宋体"/>
                <w:sz w:val="24"/>
                <w:szCs w:val="24"/>
              </w:rPr>
            </w:pPr>
            <w:r>
              <w:rPr>
                <w:rFonts w:hint="eastAsia" w:ascii="宋体" w:hAnsi="宋体" w:eastAsia="宋体" w:cs="宋体"/>
                <w:sz w:val="24"/>
                <w:szCs w:val="24"/>
              </w:rPr>
              <w:t>10</w:t>
            </w:r>
          </w:p>
        </w:tc>
      </w:tr>
      <w:tr w14:paraId="0CC59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27" w:type="dxa"/>
            <w:vMerge w:val="restart"/>
            <w:noWrap w:val="0"/>
            <w:vAlign w:val="center"/>
          </w:tcPr>
          <w:p w14:paraId="1AC93D62">
            <w:pPr>
              <w:wordWrap/>
              <w:spacing w:line="360" w:lineRule="auto"/>
              <w:jc w:val="center"/>
              <w:outlineLvl w:val="9"/>
              <w:rPr>
                <w:rFonts w:hint="eastAsia" w:ascii="宋体" w:hAnsi="宋体" w:eastAsia="宋体" w:cs="宋体"/>
                <w:sz w:val="24"/>
                <w:szCs w:val="24"/>
                <w:lang w:val="en-US" w:eastAsia="zh-CN"/>
              </w:rPr>
            </w:pPr>
            <w:r>
              <w:rPr>
                <w:rFonts w:hint="eastAsia" w:ascii="宋体" w:hAnsi="宋体" w:eastAsia="宋体" w:cs="宋体"/>
                <w:sz w:val="24"/>
                <w:szCs w:val="24"/>
              </w:rPr>
              <w:t>商务</w:t>
            </w:r>
            <w:r>
              <w:rPr>
                <w:rFonts w:hint="eastAsia" w:ascii="宋体" w:hAnsi="宋体" w:eastAsia="宋体" w:cs="宋体"/>
                <w:sz w:val="24"/>
                <w:szCs w:val="24"/>
                <w:lang w:val="en-US" w:eastAsia="zh-CN"/>
              </w:rPr>
              <w:t>部分</w:t>
            </w:r>
          </w:p>
          <w:p w14:paraId="28D0F8E3">
            <w:pPr>
              <w:wordWrap/>
              <w:spacing w:line="360" w:lineRule="auto"/>
              <w:jc w:val="center"/>
              <w:outlineLvl w:val="9"/>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25</w:t>
            </w:r>
            <w:r>
              <w:rPr>
                <w:rFonts w:hint="eastAsia" w:ascii="宋体" w:hAnsi="宋体" w:eastAsia="宋体" w:cs="宋体"/>
                <w:sz w:val="24"/>
                <w:szCs w:val="24"/>
              </w:rPr>
              <w:t>分）</w:t>
            </w:r>
          </w:p>
        </w:tc>
        <w:tc>
          <w:tcPr>
            <w:tcW w:w="1275" w:type="dxa"/>
            <w:noWrap w:val="0"/>
            <w:vAlign w:val="center"/>
          </w:tcPr>
          <w:p w14:paraId="748BEB55">
            <w:pPr>
              <w:wordWrap/>
              <w:spacing w:line="360" w:lineRule="auto"/>
              <w:jc w:val="center"/>
              <w:outlineLvl w:val="9"/>
              <w:rPr>
                <w:rFonts w:hint="eastAsia" w:ascii="宋体" w:hAnsi="宋体" w:eastAsia="宋体" w:cs="宋体"/>
                <w:sz w:val="24"/>
                <w:szCs w:val="24"/>
              </w:rPr>
            </w:pPr>
            <w:r>
              <w:rPr>
                <w:rFonts w:hint="eastAsia" w:ascii="宋体" w:hAnsi="宋体" w:eastAsia="宋体" w:cs="宋体"/>
                <w:sz w:val="24"/>
                <w:szCs w:val="24"/>
              </w:rPr>
              <w:t>类似业绩</w:t>
            </w:r>
          </w:p>
        </w:tc>
        <w:tc>
          <w:tcPr>
            <w:tcW w:w="5745" w:type="dxa"/>
            <w:noWrap w:val="0"/>
            <w:vAlign w:val="top"/>
          </w:tcPr>
          <w:p w14:paraId="1098BFAF">
            <w:pPr>
              <w:wordWrap/>
              <w:spacing w:line="360" w:lineRule="auto"/>
              <w:ind w:firstLine="480" w:firstLineChars="200"/>
              <w:jc w:val="left"/>
              <w:outlineLvl w:val="9"/>
              <w:rPr>
                <w:rFonts w:hint="eastAsia" w:ascii="宋体" w:hAnsi="宋体" w:eastAsia="宋体" w:cs="宋体"/>
                <w:sz w:val="24"/>
                <w:szCs w:val="24"/>
              </w:rPr>
            </w:pPr>
            <w:r>
              <w:rPr>
                <w:rFonts w:hint="eastAsia" w:ascii="宋体" w:hAnsi="宋体" w:eastAsia="宋体" w:cs="宋体"/>
                <w:sz w:val="24"/>
                <w:szCs w:val="24"/>
              </w:rPr>
              <w:t>供应商近</w:t>
            </w:r>
            <w:r>
              <w:rPr>
                <w:rFonts w:hint="eastAsia" w:ascii="宋体" w:hAnsi="宋体" w:eastAsia="宋体" w:cs="宋体"/>
                <w:sz w:val="24"/>
                <w:szCs w:val="24"/>
                <w:lang w:val="en-US" w:eastAsia="zh-CN"/>
              </w:rPr>
              <w:t>三</w:t>
            </w:r>
            <w:r>
              <w:rPr>
                <w:rFonts w:hint="eastAsia" w:ascii="宋体" w:hAnsi="宋体" w:eastAsia="宋体" w:cs="宋体"/>
                <w:sz w:val="24"/>
                <w:szCs w:val="24"/>
              </w:rPr>
              <w:t>年（20</w:t>
            </w:r>
            <w:r>
              <w:rPr>
                <w:rFonts w:hint="eastAsia" w:ascii="宋体" w:hAnsi="宋体" w:eastAsia="宋体" w:cs="宋体"/>
                <w:sz w:val="24"/>
                <w:szCs w:val="24"/>
                <w:lang w:val="en-US" w:eastAsia="zh-CN"/>
              </w:rPr>
              <w:t>23</w:t>
            </w:r>
            <w:r>
              <w:rPr>
                <w:rFonts w:hint="eastAsia" w:ascii="宋体" w:hAnsi="宋体" w:eastAsia="宋体" w:cs="宋体"/>
                <w:sz w:val="24"/>
                <w:szCs w:val="24"/>
              </w:rPr>
              <w:t>年</w:t>
            </w:r>
            <w:r>
              <w:rPr>
                <w:rFonts w:hint="eastAsia" w:ascii="宋体" w:hAnsi="宋体" w:eastAsia="宋体" w:cs="宋体"/>
                <w:sz w:val="24"/>
                <w:szCs w:val="24"/>
                <w:lang w:val="en-US" w:eastAsia="zh-CN"/>
              </w:rPr>
              <w:t>10</w:t>
            </w:r>
            <w:r>
              <w:rPr>
                <w:rFonts w:hint="eastAsia" w:ascii="宋体" w:hAnsi="宋体" w:eastAsia="宋体" w:cs="宋体"/>
                <w:sz w:val="24"/>
                <w:szCs w:val="24"/>
              </w:rPr>
              <w:t>月以来）承担过的</w:t>
            </w:r>
            <w:r>
              <w:rPr>
                <w:rFonts w:hint="eastAsia" w:ascii="宋体" w:hAnsi="宋体" w:eastAsia="宋体" w:cs="宋体"/>
                <w:sz w:val="24"/>
                <w:szCs w:val="24"/>
                <w:lang w:val="en-US" w:eastAsia="zh-CN"/>
              </w:rPr>
              <w:t>同类</w:t>
            </w:r>
            <w:r>
              <w:rPr>
                <w:rFonts w:hint="eastAsia" w:ascii="宋体" w:hAnsi="宋体" w:eastAsia="宋体" w:cs="宋体"/>
                <w:sz w:val="24"/>
                <w:szCs w:val="24"/>
              </w:rPr>
              <w:t>业绩</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桥梁维修或桥梁新建或桥梁改建</w:t>
            </w:r>
            <w:r>
              <w:rPr>
                <w:rFonts w:hint="eastAsia" w:ascii="宋体" w:hAnsi="宋体" w:eastAsia="宋体" w:cs="宋体"/>
                <w:sz w:val="24"/>
                <w:szCs w:val="24"/>
                <w:lang w:eastAsia="zh-CN"/>
              </w:rPr>
              <w:t>）</w:t>
            </w:r>
            <w:r>
              <w:rPr>
                <w:rFonts w:hint="eastAsia" w:ascii="宋体" w:hAnsi="宋体" w:eastAsia="宋体" w:cs="宋体"/>
                <w:sz w:val="24"/>
                <w:szCs w:val="24"/>
              </w:rPr>
              <w:t>，</w:t>
            </w:r>
            <w:r>
              <w:rPr>
                <w:rFonts w:hint="eastAsia" w:ascii="宋体" w:hAnsi="宋体" w:eastAsia="宋体" w:cs="宋体"/>
                <w:sz w:val="24"/>
                <w:szCs w:val="24"/>
                <w:lang w:val="en-US" w:eastAsia="zh-CN"/>
              </w:rPr>
              <w:t>提供1个得3分，最多得9分。提供合同，时间以合同签订日期为准</w:t>
            </w:r>
            <w:r>
              <w:rPr>
                <w:rFonts w:hint="eastAsia" w:ascii="宋体" w:hAnsi="宋体" w:eastAsia="宋体" w:cs="宋体"/>
                <w:sz w:val="24"/>
                <w:szCs w:val="24"/>
              </w:rPr>
              <w:t>。</w:t>
            </w:r>
          </w:p>
          <w:p w14:paraId="273112CB">
            <w:pPr>
              <w:wordWrap/>
              <w:spacing w:line="360" w:lineRule="auto"/>
              <w:ind w:firstLine="480" w:firstLineChars="200"/>
              <w:jc w:val="left"/>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证明材料：</w:t>
            </w:r>
            <w:r>
              <w:rPr>
                <w:rFonts w:hint="eastAsia" w:ascii="宋体" w:hAnsi="宋体" w:eastAsia="宋体" w:cs="宋体"/>
                <w:sz w:val="24"/>
                <w:szCs w:val="24"/>
                <w:lang w:val="en-US" w:eastAsia="zh-CN"/>
              </w:rPr>
              <w:t>提供项目合同（应提供合同首页、盖章页及关键页）的清晰影印本并加盖供应商公章。未提供相关证明材料或所提供的资料内容难以辨认的或评审专家无法凭所提供材料判断是否得分的情况，一律不得分。</w:t>
            </w:r>
          </w:p>
          <w:p w14:paraId="38590A63">
            <w:pPr>
              <w:wordWrap/>
              <w:spacing w:line="360" w:lineRule="auto"/>
              <w:ind w:firstLine="480" w:firstLineChars="200"/>
              <w:jc w:val="left"/>
              <w:outlineLvl w:val="9"/>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备注：若不同项目，签订业主为同一主业时，可累计计取。</w:t>
            </w:r>
          </w:p>
        </w:tc>
        <w:tc>
          <w:tcPr>
            <w:tcW w:w="825" w:type="dxa"/>
            <w:noWrap w:val="0"/>
            <w:vAlign w:val="center"/>
          </w:tcPr>
          <w:p w14:paraId="515FC595">
            <w:pPr>
              <w:wordWrap/>
              <w:spacing w:line="360" w:lineRule="auto"/>
              <w:jc w:val="center"/>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w:t>
            </w:r>
          </w:p>
        </w:tc>
      </w:tr>
      <w:tr w14:paraId="38014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27" w:type="dxa"/>
            <w:vMerge w:val="continue"/>
            <w:noWrap w:val="0"/>
            <w:vAlign w:val="center"/>
          </w:tcPr>
          <w:p w14:paraId="7B5899D0">
            <w:pPr>
              <w:wordWrap/>
              <w:spacing w:line="360" w:lineRule="auto"/>
              <w:jc w:val="center"/>
              <w:outlineLvl w:val="9"/>
              <w:rPr>
                <w:rFonts w:hint="eastAsia" w:ascii="宋体" w:hAnsi="宋体" w:eastAsia="宋体" w:cs="宋体"/>
                <w:sz w:val="24"/>
                <w:szCs w:val="24"/>
              </w:rPr>
            </w:pPr>
          </w:p>
        </w:tc>
        <w:tc>
          <w:tcPr>
            <w:tcW w:w="1275" w:type="dxa"/>
            <w:noWrap w:val="0"/>
            <w:vAlign w:val="center"/>
          </w:tcPr>
          <w:p w14:paraId="44BCF7D5">
            <w:pPr>
              <w:wordWrap/>
              <w:spacing w:line="360" w:lineRule="auto"/>
              <w:jc w:val="center"/>
              <w:outlineLvl w:val="9"/>
              <w:rPr>
                <w:rFonts w:hint="eastAsia" w:ascii="宋体" w:hAnsi="宋体" w:eastAsia="宋体" w:cs="宋体"/>
                <w:sz w:val="24"/>
                <w:szCs w:val="24"/>
              </w:rPr>
            </w:pPr>
            <w:r>
              <w:rPr>
                <w:rFonts w:hint="eastAsia" w:ascii="宋体" w:hAnsi="宋体" w:eastAsia="宋体" w:cs="宋体"/>
                <w:sz w:val="24"/>
                <w:szCs w:val="24"/>
              </w:rPr>
              <w:t>用户好评</w:t>
            </w:r>
          </w:p>
        </w:tc>
        <w:tc>
          <w:tcPr>
            <w:tcW w:w="5745" w:type="dxa"/>
            <w:noWrap w:val="0"/>
            <w:vAlign w:val="top"/>
          </w:tcPr>
          <w:p w14:paraId="46E6B4D4">
            <w:pPr>
              <w:tabs>
                <w:tab w:val="left" w:pos="1155"/>
              </w:tabs>
              <w:wordWrap/>
              <w:spacing w:line="360" w:lineRule="auto"/>
              <w:ind w:firstLine="480" w:firstLineChars="20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供应商提供以上</w:t>
            </w:r>
            <w:r>
              <w:rPr>
                <w:rFonts w:hint="eastAsia" w:ascii="宋体" w:hAnsi="宋体" w:eastAsia="宋体" w:cs="宋体"/>
                <w:sz w:val="24"/>
                <w:szCs w:val="24"/>
                <w:lang w:val="en-US" w:eastAsia="zh-CN"/>
              </w:rPr>
              <w:t>同类</w:t>
            </w:r>
            <w:r>
              <w:rPr>
                <w:rFonts w:hint="eastAsia" w:ascii="宋体" w:hAnsi="宋体" w:eastAsia="宋体" w:cs="宋体"/>
                <w:color w:val="auto"/>
                <w:sz w:val="24"/>
                <w:szCs w:val="24"/>
                <w:highlight w:val="none"/>
                <w:lang w:val="en-US" w:eastAsia="zh-CN"/>
              </w:rPr>
              <w:t>业绩在服务期间获得过用户单位出具的满意评价证明（须加盖用户单位公章），且评议为“好”或“满意”或“优良”等类似评价的，每提供一个评议得2分，最多得6分。以对象（采购人）评价证明为准。</w:t>
            </w:r>
          </w:p>
        </w:tc>
        <w:tc>
          <w:tcPr>
            <w:tcW w:w="825" w:type="dxa"/>
            <w:noWrap w:val="0"/>
            <w:vAlign w:val="center"/>
          </w:tcPr>
          <w:p w14:paraId="24E5A421">
            <w:pPr>
              <w:wordWrap/>
              <w:spacing w:line="360" w:lineRule="auto"/>
              <w:jc w:val="center"/>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p>
        </w:tc>
      </w:tr>
      <w:tr w14:paraId="39381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27" w:type="dxa"/>
            <w:vMerge w:val="continue"/>
            <w:noWrap w:val="0"/>
            <w:vAlign w:val="center"/>
          </w:tcPr>
          <w:p w14:paraId="35B029C1">
            <w:pPr>
              <w:wordWrap/>
              <w:spacing w:line="360" w:lineRule="auto"/>
              <w:jc w:val="center"/>
              <w:outlineLvl w:val="9"/>
              <w:rPr>
                <w:rFonts w:hint="eastAsia" w:ascii="宋体" w:hAnsi="宋体" w:eastAsia="宋体" w:cs="宋体"/>
                <w:sz w:val="24"/>
                <w:szCs w:val="24"/>
              </w:rPr>
            </w:pPr>
          </w:p>
        </w:tc>
        <w:tc>
          <w:tcPr>
            <w:tcW w:w="1275" w:type="dxa"/>
            <w:noWrap w:val="0"/>
            <w:vAlign w:val="center"/>
          </w:tcPr>
          <w:p w14:paraId="75D4A672">
            <w:pPr>
              <w:wordWrap/>
              <w:spacing w:line="360" w:lineRule="auto"/>
              <w:jc w:val="center"/>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拟派服务团队</w:t>
            </w:r>
          </w:p>
        </w:tc>
        <w:tc>
          <w:tcPr>
            <w:tcW w:w="5745" w:type="dxa"/>
            <w:noWrap w:val="0"/>
            <w:vAlign w:val="top"/>
          </w:tcPr>
          <w:p w14:paraId="1162BFFA">
            <w:pPr>
              <w:tabs>
                <w:tab w:val="left" w:pos="1155"/>
              </w:tabs>
              <w:wordWrap/>
              <w:spacing w:line="360" w:lineRule="auto"/>
              <w:ind w:firstLine="480" w:firstLineChars="20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拟派项目负责人具有市政工程二级及以上建造师和合格有效的安全生产考核B证得2分，提供身份证、注册证、安全生产考核B证、劳动合同及社保缴纳证明（①提供近6个月中任意一个月社保证明材料；②若入职未满一个月员工可不提供，以劳动合同日期为准；③若为退休人员、提供退休证）；（2分）</w:t>
            </w:r>
          </w:p>
          <w:p w14:paraId="41A29D22">
            <w:pPr>
              <w:tabs>
                <w:tab w:val="left" w:pos="1155"/>
              </w:tabs>
              <w:wordWrap/>
              <w:spacing w:line="360" w:lineRule="auto"/>
              <w:ind w:firstLine="480" w:firstLineChars="20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2.供应商拟派技术负责人具有中级及以上职称</w:t>
            </w:r>
            <w:r>
              <w:rPr>
                <w:rFonts w:hint="eastAsia" w:ascii="宋体" w:hAnsi="宋体" w:eastAsia="宋体" w:cs="宋体"/>
                <w:color w:val="auto"/>
                <w:sz w:val="24"/>
                <w:szCs w:val="24"/>
                <w:highlight w:val="none"/>
                <w:lang w:val="en-US" w:eastAsia="zh-CN"/>
              </w:rPr>
              <w:t>（市政工程专业类）</w:t>
            </w:r>
            <w:r>
              <w:rPr>
                <w:rFonts w:hint="eastAsia" w:ascii="宋体" w:hAnsi="宋体" w:eastAsia="宋体" w:cs="宋体"/>
                <w:color w:val="auto"/>
                <w:sz w:val="24"/>
                <w:szCs w:val="24"/>
                <w:highlight w:val="none"/>
                <w:lang w:val="en-US" w:eastAsia="zh-CN"/>
              </w:rPr>
              <w:t>得2分</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提供身份证、劳动合同、职称证书及社保缴纳证明（①提供近6个月中任意一个月社保证明材料；②若入职未满一个月员工可不提供，以劳动合同日期为准；③若为退休人员、提供退休证）。（2分）</w:t>
            </w:r>
          </w:p>
          <w:p w14:paraId="63D1F292">
            <w:pPr>
              <w:tabs>
                <w:tab w:val="left" w:pos="1155"/>
              </w:tabs>
              <w:wordWrap/>
              <w:spacing w:line="360" w:lineRule="auto"/>
              <w:ind w:firstLine="480" w:firstLineChars="20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供应商拟派项目服务团队人员（不含项目经理和技术负责人）中，具有岗位培训证书（如施工员、质量员、标准员、资料员、机械员、劳务员、材料员），每提供1个岗位人员得1分（不重复累计），最高得5分。提供身份证、劳动合同、岗位培训证（考核C证）及社保缴纳证明（①提供近6个月中任意一个月社保证明材料；②若入职未满一个月员工可不提供，以劳动合同日期为准；③若为退休人员、提供退休证）。（5分）</w:t>
            </w:r>
          </w:p>
          <w:p w14:paraId="11300267">
            <w:pPr>
              <w:tabs>
                <w:tab w:val="left" w:pos="1155"/>
              </w:tabs>
              <w:wordWrap/>
              <w:spacing w:line="360" w:lineRule="auto"/>
              <w:ind w:firstLine="480" w:firstLineChars="20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供应商拟派项目服务团队人员（不含项目经理和技术负责人）中，具有安全生产考核C证得1分，提供身份证、劳动合同、安全生产考核C证及社保缴纳证明（①提供近6个月中任意一个月社保证明材料；②若入职未满一个月员工可不提供，以劳动合同日期为准；③若为退休人员、提供退休证）。（1分）</w:t>
            </w:r>
          </w:p>
          <w:p w14:paraId="75B8E2D0">
            <w:pPr>
              <w:tabs>
                <w:tab w:val="left" w:pos="1155"/>
              </w:tabs>
              <w:wordWrap/>
              <w:spacing w:line="360" w:lineRule="auto"/>
              <w:ind w:firstLine="480" w:firstLineChars="20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说明：每个人员若有多个证书时，以得高分证书计取（不重复累计）。</w:t>
            </w:r>
          </w:p>
        </w:tc>
        <w:tc>
          <w:tcPr>
            <w:tcW w:w="825" w:type="dxa"/>
            <w:noWrap w:val="0"/>
            <w:vAlign w:val="center"/>
          </w:tcPr>
          <w:p w14:paraId="0A29AD8B">
            <w:pPr>
              <w:wordWrap/>
              <w:spacing w:line="360" w:lineRule="auto"/>
              <w:jc w:val="center"/>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w:t>
            </w:r>
          </w:p>
        </w:tc>
      </w:tr>
      <w:tr w14:paraId="12A4D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27" w:type="dxa"/>
            <w:vMerge w:val="restart"/>
            <w:noWrap w:val="0"/>
            <w:vAlign w:val="top"/>
          </w:tcPr>
          <w:p w14:paraId="5E0EBBB2">
            <w:pPr>
              <w:wordWrap/>
              <w:spacing w:line="240" w:lineRule="auto"/>
              <w:jc w:val="center"/>
              <w:outlineLvl w:val="9"/>
              <w:rPr>
                <w:rFonts w:hint="eastAsia" w:ascii="宋体" w:hAnsi="宋体" w:eastAsia="宋体" w:cs="宋体"/>
                <w:sz w:val="24"/>
                <w:szCs w:val="24"/>
              </w:rPr>
            </w:pPr>
          </w:p>
          <w:p w14:paraId="79815C69">
            <w:pPr>
              <w:wordWrap/>
              <w:spacing w:line="240" w:lineRule="auto"/>
              <w:jc w:val="center"/>
              <w:outlineLvl w:val="9"/>
              <w:rPr>
                <w:rFonts w:hint="eastAsia" w:ascii="宋体" w:hAnsi="宋体" w:eastAsia="宋体" w:cs="宋体"/>
                <w:sz w:val="24"/>
                <w:szCs w:val="24"/>
              </w:rPr>
            </w:pPr>
          </w:p>
          <w:p w14:paraId="6965D9CB">
            <w:pPr>
              <w:wordWrap/>
              <w:spacing w:line="240" w:lineRule="auto"/>
              <w:jc w:val="center"/>
              <w:outlineLvl w:val="9"/>
              <w:rPr>
                <w:rFonts w:hint="eastAsia" w:ascii="宋体" w:hAnsi="宋体" w:eastAsia="宋体" w:cs="宋体"/>
                <w:sz w:val="24"/>
                <w:szCs w:val="24"/>
              </w:rPr>
            </w:pPr>
          </w:p>
          <w:p w14:paraId="7E95BC02">
            <w:pPr>
              <w:wordWrap/>
              <w:spacing w:line="240" w:lineRule="auto"/>
              <w:jc w:val="center"/>
              <w:outlineLvl w:val="9"/>
              <w:rPr>
                <w:rFonts w:hint="eastAsia" w:ascii="宋体" w:hAnsi="宋体" w:eastAsia="宋体" w:cs="宋体"/>
                <w:sz w:val="24"/>
                <w:szCs w:val="24"/>
              </w:rPr>
            </w:pPr>
          </w:p>
          <w:p w14:paraId="5D1B0594">
            <w:pPr>
              <w:wordWrap/>
              <w:spacing w:line="240" w:lineRule="auto"/>
              <w:jc w:val="center"/>
              <w:outlineLvl w:val="9"/>
              <w:rPr>
                <w:rFonts w:hint="eastAsia" w:ascii="宋体" w:hAnsi="宋体" w:eastAsia="宋体" w:cs="宋体"/>
                <w:sz w:val="24"/>
                <w:szCs w:val="24"/>
              </w:rPr>
            </w:pPr>
            <w:r>
              <w:rPr>
                <w:rFonts w:hint="eastAsia" w:ascii="宋体" w:hAnsi="宋体" w:eastAsia="宋体" w:cs="宋体"/>
                <w:sz w:val="24"/>
                <w:szCs w:val="24"/>
              </w:rPr>
              <w:t>技术</w:t>
            </w:r>
          </w:p>
          <w:p w14:paraId="332FF80D">
            <w:pPr>
              <w:wordWrap/>
              <w:spacing w:line="240" w:lineRule="auto"/>
              <w:jc w:val="center"/>
              <w:outlineLvl w:val="9"/>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65</w:t>
            </w:r>
            <w:r>
              <w:rPr>
                <w:rFonts w:hint="eastAsia" w:ascii="宋体" w:hAnsi="宋体" w:eastAsia="宋体" w:cs="宋体"/>
                <w:sz w:val="24"/>
                <w:szCs w:val="24"/>
              </w:rPr>
              <w:t>分）</w:t>
            </w:r>
          </w:p>
        </w:tc>
        <w:tc>
          <w:tcPr>
            <w:tcW w:w="1275" w:type="dxa"/>
            <w:noWrap w:val="0"/>
            <w:vAlign w:val="center"/>
          </w:tcPr>
          <w:p w14:paraId="73E3F97F">
            <w:pPr>
              <w:keepNext w:val="0"/>
              <w:keepLines w:val="0"/>
              <w:pageBreakBefore w:val="0"/>
              <w:kinsoku/>
              <w:overflowPunct/>
              <w:topLinePunct w:val="0"/>
              <w:bidi w:val="0"/>
              <w:spacing w:line="360" w:lineRule="auto"/>
              <w:jc w:val="center"/>
              <w:outlineLvl w:val="9"/>
              <w:rPr>
                <w:rFonts w:hint="eastAsia" w:ascii="宋体" w:hAnsi="宋体" w:eastAsia="宋体" w:cs="宋体"/>
                <w:sz w:val="24"/>
                <w:szCs w:val="24"/>
              </w:rPr>
            </w:pPr>
            <w:r>
              <w:rPr>
                <w:rFonts w:hint="eastAsia" w:ascii="宋体" w:hAnsi="宋体" w:eastAsia="宋体" w:cs="宋体"/>
                <w:color w:val="000000"/>
                <w:sz w:val="24"/>
                <w:szCs w:val="24"/>
                <w:lang w:eastAsia="zh-CN"/>
              </w:rPr>
              <w:t>项目理解与分析</w:t>
            </w:r>
          </w:p>
        </w:tc>
        <w:tc>
          <w:tcPr>
            <w:tcW w:w="5745" w:type="dxa"/>
            <w:noWrap w:val="0"/>
            <w:vAlign w:val="center"/>
          </w:tcPr>
          <w:p w14:paraId="075EEF48">
            <w:pPr>
              <w:pStyle w:val="9"/>
              <w:keepNext w:val="0"/>
              <w:keepLines w:val="0"/>
              <w:pageBreakBefore w:val="0"/>
              <w:widowControl w:val="0"/>
              <w:kinsoku/>
              <w:wordWrap/>
              <w:overflowPunct/>
              <w:topLinePunct w:val="0"/>
              <w:bidi w:val="0"/>
              <w:adjustRightInd/>
              <w:snapToGrid/>
              <w:spacing w:line="360" w:lineRule="auto"/>
              <w:ind w:left="0" w:leftChars="0" w:firstLine="480" w:firstLineChars="200"/>
              <w:jc w:val="left"/>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一、评审内容：</w:t>
            </w:r>
          </w:p>
          <w:p w14:paraId="32BDED7D">
            <w:pPr>
              <w:pStyle w:val="9"/>
              <w:keepNext w:val="0"/>
              <w:keepLines w:val="0"/>
              <w:pageBreakBefore w:val="0"/>
              <w:widowControl w:val="0"/>
              <w:kinsoku/>
              <w:wordWrap/>
              <w:overflowPunct/>
              <w:topLinePunct w:val="0"/>
              <w:bidi w:val="0"/>
              <w:adjustRightInd/>
              <w:snapToGrid/>
              <w:spacing w:line="360" w:lineRule="auto"/>
              <w:ind w:left="0" w:leftChars="0" w:firstLine="480" w:firstLineChars="200"/>
              <w:jc w:val="left"/>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供应商应根据对项目需求的理解，结合自身经验，针对本项目的实施的地理位置、工作要求、环境条件等情况，剖析本项目的重点与难点。内容包含但不限于：</w:t>
            </w:r>
          </w:p>
          <w:p w14:paraId="259281F2">
            <w:pPr>
              <w:pStyle w:val="9"/>
              <w:keepNext w:val="0"/>
              <w:keepLines w:val="0"/>
              <w:pageBreakBefore w:val="0"/>
              <w:widowControl w:val="0"/>
              <w:kinsoku/>
              <w:wordWrap/>
              <w:overflowPunct/>
              <w:topLinePunct w:val="0"/>
              <w:bidi w:val="0"/>
              <w:adjustRightInd/>
              <w:snapToGrid/>
              <w:spacing w:line="360" w:lineRule="auto"/>
              <w:ind w:left="0" w:leftChars="0" w:firstLine="480" w:firstLineChars="200"/>
              <w:jc w:val="left"/>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1.供应商对项目需求、服务现状及实施内容分析；（4分）</w:t>
            </w:r>
          </w:p>
          <w:p w14:paraId="7FF5FD46">
            <w:pPr>
              <w:pStyle w:val="9"/>
              <w:keepNext w:val="0"/>
              <w:keepLines w:val="0"/>
              <w:pageBreakBefore w:val="0"/>
              <w:widowControl w:val="0"/>
              <w:kinsoku/>
              <w:wordWrap/>
              <w:overflowPunct/>
              <w:topLinePunct w:val="0"/>
              <w:bidi w:val="0"/>
              <w:adjustRightInd/>
              <w:snapToGrid/>
              <w:spacing w:line="360" w:lineRule="auto"/>
              <w:jc w:val="left"/>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2.实施重难点阐述及解决措施。（4分）</w:t>
            </w:r>
          </w:p>
          <w:p w14:paraId="5319BAF5">
            <w:pPr>
              <w:pStyle w:val="9"/>
              <w:keepNext w:val="0"/>
              <w:keepLines w:val="0"/>
              <w:pageBreakBefore w:val="0"/>
              <w:widowControl w:val="0"/>
              <w:kinsoku/>
              <w:wordWrap/>
              <w:overflowPunct/>
              <w:topLinePunct w:val="0"/>
              <w:bidi w:val="0"/>
              <w:adjustRightInd/>
              <w:snapToGrid/>
              <w:spacing w:line="360" w:lineRule="auto"/>
              <w:jc w:val="left"/>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二、评审标准：</w:t>
            </w:r>
          </w:p>
          <w:p w14:paraId="0F3F3A3D">
            <w:pPr>
              <w:keepNext w:val="0"/>
              <w:keepLines w:val="0"/>
              <w:pageBreakBefore w:val="0"/>
              <w:widowControl/>
              <w:kinsoku/>
              <w:overflowPunct/>
              <w:topLinePunct w:val="0"/>
              <w:bidi w:val="0"/>
              <w:adjustRightInd w:val="0"/>
              <w:spacing w:line="360" w:lineRule="auto"/>
              <w:ind w:firstLine="480" w:firstLineChars="200"/>
              <w:jc w:val="left"/>
              <w:outlineLvl w:val="9"/>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以上评审</w:t>
            </w:r>
            <w:r>
              <w:rPr>
                <w:rFonts w:hint="eastAsia" w:ascii="宋体" w:hAnsi="宋体" w:eastAsia="宋体" w:cs="宋体"/>
                <w:color w:val="auto"/>
                <w:sz w:val="24"/>
                <w:szCs w:val="24"/>
                <w:highlight w:val="none"/>
                <w:lang w:eastAsia="zh-CN"/>
              </w:rPr>
              <w:t>内容描述清晰完整、科学合理、符合项目特点及规范要求、针对性强的，得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分；方案内容描述完整、科学合理、基本符合、缺乏针对性的，得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分；方案内容描述不完整、不合理的，得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分；未提供或未响应不得分。</w:t>
            </w:r>
          </w:p>
        </w:tc>
        <w:tc>
          <w:tcPr>
            <w:tcW w:w="825" w:type="dxa"/>
            <w:noWrap w:val="0"/>
            <w:vAlign w:val="center"/>
          </w:tcPr>
          <w:p w14:paraId="225C5A56">
            <w:pPr>
              <w:keepNext w:val="0"/>
              <w:keepLines w:val="0"/>
              <w:pageBreakBefore w:val="0"/>
              <w:kinsoku/>
              <w:wordWrap/>
              <w:overflowPunct/>
              <w:topLinePunct w:val="0"/>
              <w:bidi w:val="0"/>
              <w:spacing w:line="360" w:lineRule="auto"/>
              <w:jc w:val="center"/>
              <w:outlineLvl w:val="9"/>
              <w:rPr>
                <w:rFonts w:hint="eastAsia" w:ascii="宋体" w:hAnsi="宋体" w:eastAsia="宋体" w:cs="宋体"/>
                <w:sz w:val="24"/>
                <w:szCs w:val="24"/>
                <w:lang w:val="en-US" w:eastAsia="zh-CN"/>
              </w:rPr>
            </w:pPr>
            <w:r>
              <w:rPr>
                <w:rFonts w:hint="eastAsia" w:ascii="宋体" w:hAnsi="宋体" w:eastAsia="宋体" w:cs="宋体"/>
                <w:color w:val="000000"/>
                <w:sz w:val="24"/>
                <w:szCs w:val="24"/>
                <w:highlight w:val="none"/>
                <w:lang w:val="en-US" w:eastAsia="zh-CN"/>
              </w:rPr>
              <w:t>8</w:t>
            </w:r>
          </w:p>
        </w:tc>
      </w:tr>
      <w:tr w14:paraId="643FF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27" w:type="dxa"/>
            <w:vMerge w:val="continue"/>
            <w:noWrap w:val="0"/>
            <w:vAlign w:val="top"/>
          </w:tcPr>
          <w:p w14:paraId="09CAB631">
            <w:pPr>
              <w:shd w:val="clear" w:color="auto" w:fill="auto"/>
              <w:wordWrap/>
              <w:spacing w:line="240" w:lineRule="auto"/>
              <w:jc w:val="both"/>
              <w:outlineLvl w:val="9"/>
              <w:rPr>
                <w:rFonts w:hint="eastAsia" w:ascii="宋体" w:hAnsi="宋体" w:eastAsia="宋体" w:cs="宋体"/>
                <w:sz w:val="24"/>
                <w:szCs w:val="24"/>
              </w:rPr>
            </w:pPr>
          </w:p>
        </w:tc>
        <w:tc>
          <w:tcPr>
            <w:tcW w:w="1275" w:type="dxa"/>
            <w:noWrap w:val="0"/>
            <w:vAlign w:val="center"/>
          </w:tcPr>
          <w:p w14:paraId="0C4DF842">
            <w:pPr>
              <w:shd w:val="clear" w:color="auto" w:fill="auto"/>
              <w:wordWrap/>
              <w:spacing w:line="360" w:lineRule="auto"/>
              <w:jc w:val="center"/>
              <w:outlineLvl w:val="9"/>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维修服务方案</w:t>
            </w:r>
          </w:p>
        </w:tc>
        <w:tc>
          <w:tcPr>
            <w:tcW w:w="5745" w:type="dxa"/>
            <w:noWrap w:val="0"/>
            <w:vAlign w:val="center"/>
          </w:tcPr>
          <w:p w14:paraId="43763764">
            <w:pPr>
              <w:pStyle w:val="9"/>
              <w:widowControl w:val="0"/>
              <w:wordWrap/>
              <w:spacing w:line="360" w:lineRule="auto"/>
              <w:ind w:left="0" w:leftChars="0" w:firstLine="480" w:firstLineChars="200"/>
              <w:jc w:val="both"/>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一、评审内容：</w:t>
            </w:r>
          </w:p>
          <w:p w14:paraId="3E0850B7">
            <w:pPr>
              <w:pStyle w:val="9"/>
              <w:widowControl w:val="0"/>
              <w:wordWrap/>
              <w:spacing w:line="360" w:lineRule="auto"/>
              <w:ind w:left="0" w:leftChars="0" w:firstLine="0" w:firstLineChars="0"/>
              <w:jc w:val="both"/>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供应商针对本项目特点和实际情况制定</w:t>
            </w:r>
            <w:r>
              <w:rPr>
                <w:rFonts w:hint="eastAsia" w:ascii="宋体" w:hAnsi="宋体" w:eastAsia="宋体" w:cs="宋体"/>
                <w:b w:val="0"/>
                <w:bCs/>
                <w:sz w:val="24"/>
                <w:szCs w:val="24"/>
                <w:lang w:val="en-US" w:eastAsia="zh-CN"/>
              </w:rPr>
              <w:t>维修服务方案</w:t>
            </w:r>
            <w:r>
              <w:rPr>
                <w:rFonts w:hint="eastAsia" w:ascii="宋体" w:hAnsi="宋体" w:eastAsia="宋体" w:cs="宋体"/>
                <w:sz w:val="24"/>
                <w:szCs w:val="24"/>
                <w:lang w:val="en-US" w:eastAsia="zh-CN"/>
              </w:rPr>
              <w:t>满足实际需求，内容包含但不限于：</w:t>
            </w:r>
          </w:p>
          <w:p w14:paraId="2F871F4A">
            <w:pPr>
              <w:numPr>
                <w:ilvl w:val="0"/>
                <w:numId w:val="0"/>
              </w:numPr>
              <w:wordWrap/>
              <w:spacing w:line="360" w:lineRule="auto"/>
              <w:ind w:firstLine="480" w:firstLineChars="200"/>
              <w:jc w:val="both"/>
              <w:outlineLvl w:val="9"/>
              <w:rPr>
                <w:rFonts w:hint="eastAsia" w:ascii="宋体" w:hAnsi="宋体" w:eastAsia="宋体" w:cs="宋体"/>
                <w:sz w:val="24"/>
                <w:szCs w:val="24"/>
                <w:lang w:val="en-US" w:eastAsia="zh-CN"/>
              </w:rPr>
            </w:pPr>
            <w:r>
              <w:rPr>
                <w:rFonts w:hint="eastAsia" w:ascii="宋体" w:hAnsi="宋体" w:eastAsia="宋体" w:cs="宋体"/>
                <w:kern w:val="0"/>
                <w:sz w:val="24"/>
                <w:szCs w:val="24"/>
                <w:lang w:val="en-US" w:eastAsia="zh-CN" w:bidi="ar-SA"/>
              </w:rPr>
              <w:t>1.主桥涂装维修方案</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（3分）</w:t>
            </w:r>
          </w:p>
          <w:p w14:paraId="36C9C5E1">
            <w:pPr>
              <w:numPr>
                <w:ilvl w:val="0"/>
                <w:numId w:val="0"/>
              </w:numPr>
              <w:wordWrap/>
              <w:spacing w:line="360" w:lineRule="auto"/>
              <w:ind w:firstLine="480" w:firstLineChars="200"/>
              <w:jc w:val="both"/>
              <w:outlineLvl w:val="9"/>
              <w:rPr>
                <w:rFonts w:hint="eastAsia" w:ascii="宋体" w:hAnsi="宋体" w:eastAsia="宋体" w:cs="宋体"/>
                <w:sz w:val="24"/>
                <w:szCs w:val="24"/>
              </w:rPr>
            </w:pPr>
            <w:r>
              <w:rPr>
                <w:rFonts w:hint="eastAsia" w:ascii="宋体" w:hAnsi="宋体" w:eastAsia="宋体" w:cs="宋体"/>
                <w:kern w:val="0"/>
                <w:sz w:val="24"/>
                <w:szCs w:val="24"/>
                <w:lang w:val="en-US" w:eastAsia="zh-CN" w:bidi="ar-SA"/>
              </w:rPr>
              <w:t>2.栈桥涂装维修方案</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（3分）</w:t>
            </w:r>
          </w:p>
          <w:p w14:paraId="484267A8">
            <w:pPr>
              <w:wordWrap/>
              <w:spacing w:line="360" w:lineRule="auto"/>
              <w:ind w:firstLine="480" w:firstLineChars="200"/>
              <w:jc w:val="both"/>
              <w:outlineLvl w:val="9"/>
              <w:rPr>
                <w:rFonts w:hint="eastAsia" w:ascii="宋体" w:hAnsi="宋体" w:eastAsia="宋体" w:cs="宋体"/>
                <w:color w:val="000000"/>
                <w:sz w:val="24"/>
                <w:szCs w:val="24"/>
                <w:lang w:val="en-US" w:eastAsia="zh-CN"/>
              </w:rPr>
            </w:pPr>
            <w:r>
              <w:rPr>
                <w:rFonts w:hint="eastAsia" w:ascii="宋体" w:hAnsi="宋体" w:eastAsia="宋体" w:cs="宋体"/>
                <w:sz w:val="24"/>
                <w:szCs w:val="24"/>
                <w:lang w:val="en-US" w:eastAsia="zh-CN"/>
              </w:rPr>
              <w:t>3.梯道涂装维修方案；（3分）</w:t>
            </w:r>
          </w:p>
          <w:p w14:paraId="08B51670">
            <w:pPr>
              <w:spacing w:line="360" w:lineRule="auto"/>
              <w:ind w:firstLine="480" w:firstLineChars="20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4.墩柱涂装维修方案；</w:t>
            </w:r>
            <w:r>
              <w:rPr>
                <w:rFonts w:hint="eastAsia" w:ascii="宋体" w:hAnsi="宋体" w:eastAsia="宋体" w:cs="宋体"/>
                <w:sz w:val="24"/>
                <w:szCs w:val="24"/>
                <w:lang w:val="en-US" w:eastAsia="zh-CN"/>
              </w:rPr>
              <w:t>（3分）</w:t>
            </w:r>
          </w:p>
          <w:p w14:paraId="1BF30EA8">
            <w:pPr>
              <w:spacing w:line="360" w:lineRule="auto"/>
              <w:ind w:firstLine="480" w:firstLineChars="20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5.全桥栏杆维修方案；</w:t>
            </w:r>
            <w:r>
              <w:rPr>
                <w:rFonts w:hint="eastAsia" w:ascii="宋体" w:hAnsi="宋体" w:eastAsia="宋体" w:cs="宋体"/>
                <w:sz w:val="24"/>
                <w:szCs w:val="24"/>
                <w:lang w:val="en-US" w:eastAsia="zh-CN"/>
              </w:rPr>
              <w:t>（3分）</w:t>
            </w:r>
          </w:p>
          <w:p w14:paraId="3C855E3F">
            <w:pPr>
              <w:spacing w:line="360" w:lineRule="auto"/>
              <w:ind w:firstLine="480" w:firstLineChars="20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6.排水沟槽维修方案；</w:t>
            </w:r>
            <w:r>
              <w:rPr>
                <w:rFonts w:hint="eastAsia" w:ascii="宋体" w:hAnsi="宋体" w:eastAsia="宋体" w:cs="宋体"/>
                <w:sz w:val="24"/>
                <w:szCs w:val="24"/>
                <w:lang w:val="en-US" w:eastAsia="zh-CN"/>
              </w:rPr>
              <w:t>（3分）</w:t>
            </w:r>
          </w:p>
          <w:p w14:paraId="4393EDFF">
            <w:pPr>
              <w:spacing w:line="360" w:lineRule="auto"/>
              <w:ind w:firstLine="480" w:firstLineChars="20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7.伸缩缝维修方案；</w:t>
            </w:r>
            <w:r>
              <w:rPr>
                <w:rFonts w:hint="eastAsia" w:ascii="宋体" w:hAnsi="宋体" w:eastAsia="宋体" w:cs="宋体"/>
                <w:sz w:val="24"/>
                <w:szCs w:val="24"/>
                <w:lang w:val="en-US" w:eastAsia="zh-CN"/>
              </w:rPr>
              <w:t>（3分）</w:t>
            </w:r>
          </w:p>
          <w:p w14:paraId="246CA8D1">
            <w:pPr>
              <w:spacing w:line="360" w:lineRule="auto"/>
              <w:ind w:firstLine="480" w:firstLineChars="20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8.桥面铺装维修方案；</w:t>
            </w:r>
            <w:r>
              <w:rPr>
                <w:rFonts w:hint="eastAsia" w:ascii="宋体" w:hAnsi="宋体" w:eastAsia="宋体" w:cs="宋体"/>
                <w:sz w:val="24"/>
                <w:szCs w:val="24"/>
                <w:lang w:val="en-US" w:eastAsia="zh-CN"/>
              </w:rPr>
              <w:t>（3分）</w:t>
            </w:r>
          </w:p>
          <w:p w14:paraId="63264746">
            <w:pPr>
              <w:spacing w:line="360" w:lineRule="auto"/>
              <w:ind w:firstLine="480" w:firstLineChars="20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9.其他病害维修方案。</w:t>
            </w:r>
            <w:r>
              <w:rPr>
                <w:rFonts w:hint="eastAsia" w:ascii="宋体" w:hAnsi="宋体" w:eastAsia="宋体" w:cs="宋体"/>
                <w:sz w:val="24"/>
                <w:szCs w:val="24"/>
                <w:lang w:val="en-US" w:eastAsia="zh-CN"/>
              </w:rPr>
              <w:t>（3分）</w:t>
            </w:r>
          </w:p>
          <w:p w14:paraId="4834991E">
            <w:pPr>
              <w:spacing w:line="360" w:lineRule="auto"/>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二、评审标准：</w:t>
            </w:r>
          </w:p>
          <w:p w14:paraId="5BBA857E">
            <w:pPr>
              <w:pStyle w:val="2"/>
              <w:wordWrap/>
              <w:spacing w:line="360" w:lineRule="auto"/>
              <w:ind w:left="0" w:leftChars="0" w:firstLine="480" w:firstLineChars="200"/>
              <w:jc w:val="left"/>
              <w:outlineLvl w:val="9"/>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以上评审</w:t>
            </w:r>
            <w:r>
              <w:rPr>
                <w:rFonts w:hint="eastAsia" w:ascii="宋体" w:hAnsi="宋体" w:eastAsia="宋体" w:cs="宋体"/>
                <w:color w:val="auto"/>
                <w:sz w:val="24"/>
                <w:szCs w:val="24"/>
                <w:highlight w:val="none"/>
                <w:lang w:eastAsia="zh-CN"/>
              </w:rPr>
              <w:t>内容描述清晰完整、科学合理、符合项目特点及规范要求、针对性强的，得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分；方案内容描述完整、科学合理、基本符合、缺乏针对性的，得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分；方案内容描述不完整、不合理的，得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分；未提供或未响应不得分。</w:t>
            </w:r>
          </w:p>
        </w:tc>
        <w:tc>
          <w:tcPr>
            <w:tcW w:w="825" w:type="dxa"/>
            <w:noWrap w:val="0"/>
            <w:vAlign w:val="center"/>
          </w:tcPr>
          <w:p w14:paraId="246F237A">
            <w:pPr>
              <w:wordWrap/>
              <w:spacing w:line="360" w:lineRule="auto"/>
              <w:jc w:val="center"/>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27</w:t>
            </w:r>
          </w:p>
        </w:tc>
      </w:tr>
      <w:tr w14:paraId="296CD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27" w:type="dxa"/>
            <w:vMerge w:val="continue"/>
            <w:noWrap w:val="0"/>
            <w:vAlign w:val="top"/>
          </w:tcPr>
          <w:p w14:paraId="2C106020">
            <w:pPr>
              <w:shd w:val="clear" w:color="auto" w:fill="auto"/>
              <w:wordWrap/>
              <w:spacing w:line="240" w:lineRule="auto"/>
              <w:jc w:val="both"/>
              <w:outlineLvl w:val="9"/>
              <w:rPr>
                <w:rFonts w:hint="eastAsia" w:ascii="宋体" w:hAnsi="宋体" w:eastAsia="宋体" w:cs="宋体"/>
                <w:sz w:val="24"/>
                <w:szCs w:val="24"/>
              </w:rPr>
            </w:pPr>
          </w:p>
        </w:tc>
        <w:tc>
          <w:tcPr>
            <w:tcW w:w="1275" w:type="dxa"/>
            <w:noWrap w:val="0"/>
            <w:vAlign w:val="center"/>
          </w:tcPr>
          <w:p w14:paraId="5DB2C562">
            <w:pPr>
              <w:keepNext w:val="0"/>
              <w:keepLines w:val="0"/>
              <w:pageBreakBefore w:val="0"/>
              <w:kinsoku/>
              <w:overflowPunct/>
              <w:topLinePunct w:val="0"/>
              <w:bidi w:val="0"/>
              <w:jc w:val="center"/>
              <w:outlineLvl w:val="9"/>
              <w:rPr>
                <w:rFonts w:hint="eastAsia" w:ascii="宋体" w:hAnsi="宋体" w:eastAsia="宋体" w:cs="宋体"/>
                <w:sz w:val="24"/>
                <w:szCs w:val="24"/>
              </w:rPr>
            </w:pPr>
            <w:r>
              <w:rPr>
                <w:rFonts w:hint="eastAsia" w:ascii="宋体" w:hAnsi="宋体" w:eastAsia="宋体" w:cs="宋体"/>
                <w:sz w:val="24"/>
                <w:szCs w:val="24"/>
                <w:lang w:val="en-US" w:eastAsia="zh-CN"/>
              </w:rPr>
              <w:t>人员配备方案</w:t>
            </w:r>
          </w:p>
        </w:tc>
        <w:tc>
          <w:tcPr>
            <w:tcW w:w="5745" w:type="dxa"/>
            <w:noWrap w:val="0"/>
            <w:vAlign w:val="center"/>
          </w:tcPr>
          <w:p w14:paraId="6C2973A7">
            <w:pPr>
              <w:keepNext w:val="0"/>
              <w:keepLines w:val="0"/>
              <w:pageBreakBefore w:val="0"/>
              <w:kinsoku/>
              <w:overflowPunct/>
              <w:topLinePunct w:val="0"/>
              <w:bidi w:val="0"/>
              <w:adjustRightInd w:val="0"/>
              <w:spacing w:line="360" w:lineRule="auto"/>
              <w:ind w:firstLine="480" w:firstLineChars="20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rPr>
              <w:t>一、评审内容：</w:t>
            </w:r>
          </w:p>
          <w:p w14:paraId="5B4BDC75">
            <w:pPr>
              <w:keepNext w:val="0"/>
              <w:keepLines w:val="0"/>
              <w:pageBreakBefore w:val="0"/>
              <w:kinsoku/>
              <w:overflowPunct/>
              <w:topLinePunct w:val="0"/>
              <w:bidi w:val="0"/>
              <w:ind w:firstLine="480" w:firstLineChars="200"/>
              <w:jc w:val="both"/>
              <w:outlineLvl w:val="9"/>
              <w:rPr>
                <w:rFonts w:hint="eastAsia" w:ascii="宋体" w:hAnsi="宋体" w:eastAsia="宋体" w:cs="宋体"/>
                <w:sz w:val="24"/>
                <w:szCs w:val="24"/>
                <w:lang w:val="en-US" w:eastAsia="zh-CN"/>
              </w:rPr>
            </w:pPr>
            <w:r>
              <w:rPr>
                <w:rFonts w:hint="eastAsia" w:ascii="宋体" w:hAnsi="宋体" w:eastAsia="宋体" w:cs="宋体"/>
                <w:kern w:val="0"/>
                <w:sz w:val="24"/>
                <w:szCs w:val="24"/>
                <w:lang w:val="en-US" w:eastAsia="zh-CN"/>
              </w:rPr>
              <w:t>供应商结合项目实际情况制定</w:t>
            </w:r>
            <w:r>
              <w:rPr>
                <w:rFonts w:hint="eastAsia" w:ascii="宋体" w:hAnsi="宋体" w:eastAsia="宋体" w:cs="宋体"/>
                <w:sz w:val="24"/>
                <w:szCs w:val="24"/>
                <w:lang w:val="en-US" w:eastAsia="zh-CN"/>
              </w:rPr>
              <w:t>人员配备方案</w:t>
            </w:r>
            <w:r>
              <w:rPr>
                <w:rFonts w:hint="eastAsia" w:ascii="宋体" w:hAnsi="宋体" w:eastAsia="宋体" w:cs="宋体"/>
                <w:kern w:val="0"/>
                <w:sz w:val="24"/>
                <w:szCs w:val="24"/>
                <w:lang w:val="en-US" w:eastAsia="zh-CN"/>
              </w:rPr>
              <w:t>，</w:t>
            </w:r>
            <w:r>
              <w:rPr>
                <w:rFonts w:hint="eastAsia" w:ascii="宋体" w:hAnsi="宋体" w:eastAsia="宋体" w:cs="宋体"/>
                <w:bCs/>
                <w:kern w:val="0"/>
                <w:sz w:val="24"/>
                <w:szCs w:val="24"/>
                <w:lang w:val="en-US" w:eastAsia="zh-CN"/>
              </w:rPr>
              <w:t>内容包含但不限于：</w:t>
            </w:r>
          </w:p>
          <w:p w14:paraId="3A2AD9DB">
            <w:pPr>
              <w:keepNext w:val="0"/>
              <w:keepLines w:val="0"/>
              <w:pageBreakBefore w:val="0"/>
              <w:kinsoku/>
              <w:overflowPunct/>
              <w:topLinePunct w:val="0"/>
              <w:bidi w:val="0"/>
              <w:ind w:firstLine="480" w:firstLineChars="200"/>
              <w:jc w:val="both"/>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1.服务机构、岗位职责及人力配置；（3分）</w:t>
            </w:r>
          </w:p>
          <w:p w14:paraId="6682CBCB">
            <w:pPr>
              <w:keepNext w:val="0"/>
              <w:keepLines w:val="0"/>
              <w:pageBreakBefore w:val="0"/>
              <w:kinsoku/>
              <w:overflowPunct/>
              <w:topLinePunct w:val="0"/>
              <w:bidi w:val="0"/>
              <w:ind w:firstLine="480" w:firstLineChars="200"/>
              <w:jc w:val="both"/>
              <w:outlineLvl w:val="9"/>
              <w:rPr>
                <w:rFonts w:hint="eastAsia" w:ascii="宋体" w:hAnsi="宋体" w:eastAsia="宋体" w:cs="宋体"/>
                <w:bCs/>
                <w:kern w:val="0"/>
                <w:sz w:val="24"/>
                <w:szCs w:val="24"/>
                <w:lang w:val="en-US" w:eastAsia="zh-CN"/>
              </w:rPr>
            </w:pPr>
            <w:r>
              <w:rPr>
                <w:rFonts w:hint="eastAsia" w:ascii="宋体" w:hAnsi="宋体" w:eastAsia="宋体" w:cs="宋体"/>
                <w:sz w:val="24"/>
                <w:szCs w:val="24"/>
                <w:lang w:val="en-US" w:eastAsia="zh-CN"/>
              </w:rPr>
              <w:t>2.人员保障方案。（3分）</w:t>
            </w:r>
          </w:p>
          <w:p w14:paraId="176C3B10">
            <w:pPr>
              <w:keepNext w:val="0"/>
              <w:keepLines w:val="0"/>
              <w:pageBreakBefore w:val="0"/>
              <w:kinsoku/>
              <w:overflowPunct/>
              <w:topLinePunct w:val="0"/>
              <w:bidi w:val="0"/>
              <w:ind w:left="420" w:leftChars="200" w:firstLine="0" w:firstLineChars="0"/>
              <w:jc w:val="both"/>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二、评审标准：</w:t>
            </w:r>
          </w:p>
          <w:p w14:paraId="4FC35CAD">
            <w:pPr>
              <w:keepNext w:val="0"/>
              <w:keepLines w:val="0"/>
              <w:pageBreakBefore w:val="0"/>
              <w:kinsoku/>
              <w:overflowPunct/>
              <w:topLinePunct w:val="0"/>
              <w:bidi w:val="0"/>
              <w:ind w:firstLine="480" w:firstLineChars="200"/>
              <w:jc w:val="left"/>
              <w:outlineLvl w:val="9"/>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以上评审</w:t>
            </w:r>
            <w:r>
              <w:rPr>
                <w:rFonts w:hint="eastAsia" w:ascii="宋体" w:hAnsi="宋体" w:eastAsia="宋体" w:cs="宋体"/>
                <w:color w:val="auto"/>
                <w:sz w:val="24"/>
                <w:szCs w:val="24"/>
                <w:highlight w:val="none"/>
                <w:lang w:eastAsia="zh-CN"/>
              </w:rPr>
              <w:t>内容描述清晰完整、科学合理、符合项目特点及规范要求、针对性强的，得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分；方案内容描述完整、科学合理、基本符合、缺乏针对性的，</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分；方案内容描述不完整、不合理的，得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分；未提供或未响应不得分。</w:t>
            </w:r>
          </w:p>
        </w:tc>
        <w:tc>
          <w:tcPr>
            <w:tcW w:w="825" w:type="dxa"/>
            <w:noWrap w:val="0"/>
            <w:vAlign w:val="center"/>
          </w:tcPr>
          <w:p w14:paraId="196621E5">
            <w:pPr>
              <w:keepNext w:val="0"/>
              <w:keepLines w:val="0"/>
              <w:pageBreakBefore w:val="0"/>
              <w:kinsoku/>
              <w:overflowPunct/>
              <w:topLinePunct w:val="0"/>
              <w:bidi w:val="0"/>
              <w:jc w:val="center"/>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p>
        </w:tc>
      </w:tr>
      <w:tr w14:paraId="6574D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27" w:type="dxa"/>
            <w:vMerge w:val="continue"/>
            <w:noWrap w:val="0"/>
            <w:vAlign w:val="top"/>
          </w:tcPr>
          <w:p w14:paraId="1072C26E">
            <w:pPr>
              <w:shd w:val="clear" w:color="auto" w:fill="auto"/>
              <w:wordWrap/>
              <w:spacing w:line="240" w:lineRule="auto"/>
              <w:jc w:val="both"/>
              <w:outlineLvl w:val="9"/>
              <w:rPr>
                <w:rFonts w:hint="eastAsia" w:ascii="宋体" w:hAnsi="宋体" w:eastAsia="宋体" w:cs="宋体"/>
                <w:sz w:val="24"/>
                <w:szCs w:val="24"/>
              </w:rPr>
            </w:pPr>
          </w:p>
        </w:tc>
        <w:tc>
          <w:tcPr>
            <w:tcW w:w="1275" w:type="dxa"/>
            <w:noWrap w:val="0"/>
            <w:vAlign w:val="center"/>
          </w:tcPr>
          <w:p w14:paraId="2754B2CC">
            <w:pPr>
              <w:keepNext w:val="0"/>
              <w:keepLines w:val="0"/>
              <w:pageBreakBefore w:val="0"/>
              <w:kinsoku/>
              <w:overflowPunct/>
              <w:topLinePunct w:val="0"/>
              <w:bidi w:val="0"/>
              <w:spacing w:line="360" w:lineRule="auto"/>
              <w:jc w:val="center"/>
              <w:outlineLvl w:val="9"/>
              <w:rPr>
                <w:rFonts w:hint="eastAsia" w:ascii="宋体" w:hAnsi="宋体" w:eastAsia="宋体" w:cs="宋体"/>
                <w:sz w:val="24"/>
                <w:szCs w:val="24"/>
              </w:rPr>
            </w:pPr>
            <w:r>
              <w:rPr>
                <w:rFonts w:hint="eastAsia" w:ascii="宋体" w:hAnsi="宋体" w:eastAsia="宋体" w:cs="宋体"/>
                <w:b w:val="0"/>
                <w:bCs/>
                <w:sz w:val="24"/>
                <w:szCs w:val="24"/>
              </w:rPr>
              <w:t>拟投入设备及管理方案</w:t>
            </w:r>
          </w:p>
        </w:tc>
        <w:tc>
          <w:tcPr>
            <w:tcW w:w="5745" w:type="dxa"/>
            <w:noWrap w:val="0"/>
            <w:vAlign w:val="center"/>
          </w:tcPr>
          <w:p w14:paraId="4BE96F0A">
            <w:pPr>
              <w:keepNext w:val="0"/>
              <w:keepLines w:val="0"/>
              <w:pageBreakBefore w:val="0"/>
              <w:kinsoku/>
              <w:overflowPunct/>
              <w:topLinePunct w:val="0"/>
              <w:bidi w:val="0"/>
              <w:adjustRightInd w:val="0"/>
              <w:spacing w:line="360" w:lineRule="auto"/>
              <w:ind w:firstLine="480" w:firstLineChars="20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rPr>
              <w:t>一、评审内容：</w:t>
            </w:r>
          </w:p>
          <w:p w14:paraId="47CCEFEA">
            <w:pPr>
              <w:keepNext w:val="0"/>
              <w:keepLines w:val="0"/>
              <w:pageBreakBefore w:val="0"/>
              <w:kinsoku/>
              <w:overflowPunct/>
              <w:topLinePunct w:val="0"/>
              <w:bidi w:val="0"/>
              <w:spacing w:line="360" w:lineRule="auto"/>
              <w:ind w:firstLine="480" w:firstLineChars="200"/>
              <w:jc w:val="both"/>
              <w:outlineLvl w:val="9"/>
              <w:rPr>
                <w:rFonts w:hint="eastAsia" w:ascii="宋体" w:hAnsi="宋体" w:eastAsia="宋体" w:cs="宋体"/>
                <w:bCs/>
                <w:kern w:val="0"/>
                <w:sz w:val="24"/>
                <w:szCs w:val="24"/>
                <w:lang w:val="en-US" w:eastAsia="zh-CN"/>
              </w:rPr>
            </w:pPr>
            <w:r>
              <w:rPr>
                <w:rFonts w:hint="eastAsia" w:ascii="宋体" w:hAnsi="宋体" w:eastAsia="宋体" w:cs="宋体"/>
                <w:kern w:val="0"/>
                <w:sz w:val="24"/>
                <w:szCs w:val="24"/>
                <w:lang w:val="en-US" w:eastAsia="zh-CN"/>
              </w:rPr>
              <w:t>供应商结合项目实际情况制定</w:t>
            </w:r>
            <w:r>
              <w:rPr>
                <w:rFonts w:hint="eastAsia" w:ascii="宋体" w:hAnsi="宋体" w:eastAsia="宋体" w:cs="宋体"/>
                <w:b w:val="0"/>
                <w:bCs/>
                <w:sz w:val="24"/>
                <w:szCs w:val="24"/>
              </w:rPr>
              <w:t>拟投入设备及管理方案</w:t>
            </w:r>
            <w:r>
              <w:rPr>
                <w:rFonts w:hint="eastAsia" w:ascii="宋体" w:hAnsi="宋体" w:eastAsia="宋体" w:cs="宋体"/>
                <w:kern w:val="0"/>
                <w:sz w:val="24"/>
                <w:szCs w:val="24"/>
                <w:lang w:val="en-US" w:eastAsia="zh-CN"/>
              </w:rPr>
              <w:t>，</w:t>
            </w:r>
            <w:r>
              <w:rPr>
                <w:rFonts w:hint="eastAsia" w:ascii="宋体" w:hAnsi="宋体" w:eastAsia="宋体" w:cs="宋体"/>
                <w:bCs/>
                <w:kern w:val="0"/>
                <w:sz w:val="24"/>
                <w:szCs w:val="24"/>
                <w:lang w:val="en-US" w:eastAsia="zh-CN"/>
              </w:rPr>
              <w:t>内容包含但不限于：</w:t>
            </w:r>
          </w:p>
          <w:p w14:paraId="60596DB8">
            <w:pPr>
              <w:keepNext w:val="0"/>
              <w:keepLines w:val="0"/>
              <w:pageBreakBefore w:val="0"/>
              <w:kinsoku/>
              <w:overflowPunct/>
              <w:topLinePunct w:val="0"/>
              <w:bidi w:val="0"/>
              <w:spacing w:line="360" w:lineRule="auto"/>
              <w:ind w:firstLine="480" w:firstLineChars="200"/>
              <w:jc w:val="both"/>
              <w:outlineLvl w:val="9"/>
              <w:rPr>
                <w:rFonts w:hint="eastAsia" w:ascii="宋体" w:hAnsi="宋体" w:eastAsia="宋体" w:cs="宋体"/>
                <w:sz w:val="24"/>
                <w:szCs w:val="24"/>
                <w:lang w:val="en-US" w:eastAsia="zh-CN"/>
              </w:rPr>
            </w:pPr>
            <w:r>
              <w:rPr>
                <w:rFonts w:hint="eastAsia" w:ascii="宋体" w:hAnsi="宋体" w:eastAsia="宋体" w:cs="宋体"/>
                <w:bCs/>
                <w:kern w:val="0"/>
                <w:sz w:val="24"/>
                <w:szCs w:val="24"/>
                <w:lang w:val="en-US" w:eastAsia="zh-CN"/>
              </w:rPr>
              <w:t>1.</w:t>
            </w:r>
            <w:r>
              <w:rPr>
                <w:rFonts w:hint="eastAsia" w:ascii="宋体" w:hAnsi="宋体" w:eastAsia="宋体" w:cs="宋体"/>
                <w:b w:val="0"/>
                <w:bCs/>
                <w:sz w:val="24"/>
                <w:szCs w:val="24"/>
              </w:rPr>
              <w:t>设备</w:t>
            </w:r>
            <w:r>
              <w:rPr>
                <w:rFonts w:hint="eastAsia" w:ascii="宋体" w:hAnsi="宋体" w:eastAsia="宋体" w:cs="宋体"/>
                <w:bCs/>
                <w:kern w:val="0"/>
                <w:sz w:val="24"/>
                <w:szCs w:val="24"/>
                <w:lang w:val="en-US" w:eastAsia="zh-CN"/>
              </w:rPr>
              <w:t>配置方案及安全使用方案；（3分）</w:t>
            </w:r>
          </w:p>
          <w:p w14:paraId="4C1C9F26">
            <w:pPr>
              <w:keepNext w:val="0"/>
              <w:keepLines w:val="0"/>
              <w:pageBreakBefore w:val="0"/>
              <w:kinsoku/>
              <w:overflowPunct/>
              <w:topLinePunct w:val="0"/>
              <w:bidi w:val="0"/>
              <w:spacing w:line="360" w:lineRule="auto"/>
              <w:ind w:firstLine="480" w:firstLineChars="200"/>
              <w:jc w:val="both"/>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2.设备保障及</w:t>
            </w:r>
            <w:r>
              <w:rPr>
                <w:rFonts w:hint="eastAsia" w:ascii="宋体" w:hAnsi="宋体" w:eastAsia="宋体" w:cs="宋体"/>
                <w:bCs/>
                <w:kern w:val="0"/>
                <w:sz w:val="24"/>
                <w:szCs w:val="24"/>
                <w:lang w:val="en-US" w:eastAsia="zh-CN"/>
              </w:rPr>
              <w:t>管理方案。（3分）</w:t>
            </w:r>
          </w:p>
          <w:p w14:paraId="2433ED5B">
            <w:pPr>
              <w:keepNext w:val="0"/>
              <w:keepLines w:val="0"/>
              <w:pageBreakBefore w:val="0"/>
              <w:kinsoku/>
              <w:overflowPunct/>
              <w:topLinePunct w:val="0"/>
              <w:bidi w:val="0"/>
              <w:spacing w:line="360" w:lineRule="auto"/>
              <w:ind w:left="420" w:leftChars="200" w:firstLine="0" w:firstLineChars="0"/>
              <w:jc w:val="both"/>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二、评审标准：</w:t>
            </w:r>
          </w:p>
          <w:p w14:paraId="4BA68B1B">
            <w:pPr>
              <w:keepNext w:val="0"/>
              <w:keepLines w:val="0"/>
              <w:pageBreakBefore w:val="0"/>
              <w:kinsoku/>
              <w:overflowPunct/>
              <w:topLinePunct w:val="0"/>
              <w:bidi w:val="0"/>
              <w:spacing w:line="360" w:lineRule="auto"/>
              <w:ind w:firstLine="480" w:firstLineChars="200"/>
              <w:jc w:val="left"/>
              <w:outlineLvl w:val="9"/>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以上评审</w:t>
            </w:r>
            <w:r>
              <w:rPr>
                <w:rFonts w:hint="eastAsia" w:ascii="宋体" w:hAnsi="宋体" w:eastAsia="宋体" w:cs="宋体"/>
                <w:color w:val="auto"/>
                <w:sz w:val="24"/>
                <w:szCs w:val="24"/>
                <w:highlight w:val="none"/>
                <w:lang w:eastAsia="zh-CN"/>
              </w:rPr>
              <w:t>内容描述清晰完整、科学合理、符合项目特点及规范要求、针对性强的，得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分；方案内容描述完整、科学合理、基本符合、缺乏针对性的，</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分；方案内容描述不完整、不合理的，得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分；未提供或未响应不得分。</w:t>
            </w:r>
          </w:p>
        </w:tc>
        <w:tc>
          <w:tcPr>
            <w:tcW w:w="825" w:type="dxa"/>
            <w:noWrap w:val="0"/>
            <w:vAlign w:val="center"/>
          </w:tcPr>
          <w:p w14:paraId="48A90C91">
            <w:pPr>
              <w:keepNext w:val="0"/>
              <w:keepLines w:val="0"/>
              <w:pageBreakBefore w:val="0"/>
              <w:kinsoku/>
              <w:overflowPunct/>
              <w:topLinePunct w:val="0"/>
              <w:bidi w:val="0"/>
              <w:spacing w:line="360" w:lineRule="auto"/>
              <w:jc w:val="center"/>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p>
        </w:tc>
      </w:tr>
      <w:tr w14:paraId="1D48D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27" w:type="dxa"/>
            <w:vMerge w:val="continue"/>
            <w:noWrap w:val="0"/>
            <w:vAlign w:val="top"/>
          </w:tcPr>
          <w:p w14:paraId="44A479DA">
            <w:pPr>
              <w:shd w:val="clear" w:color="auto" w:fill="auto"/>
              <w:wordWrap/>
              <w:spacing w:line="240" w:lineRule="auto"/>
              <w:jc w:val="both"/>
              <w:outlineLvl w:val="9"/>
              <w:rPr>
                <w:rFonts w:hint="eastAsia" w:ascii="宋体" w:hAnsi="宋体" w:eastAsia="宋体" w:cs="宋体"/>
                <w:sz w:val="24"/>
                <w:szCs w:val="24"/>
              </w:rPr>
            </w:pPr>
          </w:p>
        </w:tc>
        <w:tc>
          <w:tcPr>
            <w:tcW w:w="1275" w:type="dxa"/>
            <w:noWrap w:val="0"/>
            <w:vAlign w:val="center"/>
          </w:tcPr>
          <w:p w14:paraId="1B7DC2C9">
            <w:pPr>
              <w:keepNext w:val="0"/>
              <w:keepLines w:val="0"/>
              <w:pageBreakBefore w:val="0"/>
              <w:kinsoku/>
              <w:overflowPunct/>
              <w:topLinePunct w:val="0"/>
              <w:bidi w:val="0"/>
              <w:spacing w:line="360" w:lineRule="auto"/>
              <w:jc w:val="center"/>
              <w:outlineLvl w:val="9"/>
              <w:rPr>
                <w:rFonts w:hint="eastAsia" w:ascii="宋体" w:hAnsi="宋体" w:eastAsia="宋体" w:cs="宋体"/>
                <w:sz w:val="24"/>
                <w:szCs w:val="24"/>
              </w:rPr>
            </w:pPr>
            <w:r>
              <w:rPr>
                <w:rFonts w:hint="eastAsia" w:ascii="宋体" w:hAnsi="宋体" w:eastAsia="宋体" w:cs="宋体"/>
                <w:sz w:val="24"/>
                <w:szCs w:val="24"/>
              </w:rPr>
              <w:t>质量保证方案</w:t>
            </w:r>
          </w:p>
        </w:tc>
        <w:tc>
          <w:tcPr>
            <w:tcW w:w="5745" w:type="dxa"/>
            <w:noWrap w:val="0"/>
            <w:vAlign w:val="center"/>
          </w:tcPr>
          <w:p w14:paraId="259A5BEB">
            <w:pPr>
              <w:keepNext w:val="0"/>
              <w:keepLines w:val="0"/>
              <w:pageBreakBefore w:val="0"/>
              <w:kinsoku/>
              <w:overflowPunct/>
              <w:topLinePunct w:val="0"/>
              <w:bidi w:val="0"/>
              <w:adjustRightInd w:val="0"/>
              <w:spacing w:line="360" w:lineRule="auto"/>
              <w:ind w:firstLine="480" w:firstLineChars="20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rPr>
              <w:t>一、评审内容：</w:t>
            </w:r>
          </w:p>
          <w:p w14:paraId="1316B37F">
            <w:pPr>
              <w:keepNext w:val="0"/>
              <w:keepLines w:val="0"/>
              <w:pageBreakBefore w:val="0"/>
              <w:kinsoku/>
              <w:overflowPunct/>
              <w:topLinePunct w:val="0"/>
              <w:bidi w:val="0"/>
              <w:adjustRightInd w:val="0"/>
              <w:spacing w:line="360" w:lineRule="auto"/>
              <w:ind w:firstLine="480" w:firstLineChars="200"/>
              <w:jc w:val="both"/>
              <w:outlineLvl w:val="9"/>
              <w:rPr>
                <w:rFonts w:hint="eastAsia" w:ascii="宋体" w:hAnsi="宋体" w:eastAsia="宋体" w:cs="宋体"/>
                <w:bCs/>
                <w:kern w:val="0"/>
                <w:sz w:val="24"/>
                <w:szCs w:val="24"/>
                <w:lang w:val="en-US" w:eastAsia="zh-CN"/>
              </w:rPr>
            </w:pPr>
            <w:r>
              <w:rPr>
                <w:rFonts w:hint="eastAsia" w:ascii="宋体" w:hAnsi="宋体" w:eastAsia="宋体" w:cs="宋体"/>
                <w:kern w:val="0"/>
                <w:sz w:val="24"/>
                <w:szCs w:val="24"/>
                <w:lang w:val="en-US" w:eastAsia="zh-CN"/>
              </w:rPr>
              <w:t>供应商结合项目实际情况制定质量保证方案，</w:t>
            </w:r>
            <w:r>
              <w:rPr>
                <w:rFonts w:hint="eastAsia" w:ascii="宋体" w:hAnsi="宋体" w:eastAsia="宋体" w:cs="宋体"/>
                <w:bCs/>
                <w:kern w:val="0"/>
                <w:sz w:val="24"/>
                <w:szCs w:val="24"/>
                <w:lang w:val="en-US" w:eastAsia="zh-CN"/>
              </w:rPr>
              <w:t>内容包含但不限于：</w:t>
            </w:r>
          </w:p>
          <w:p w14:paraId="6198DF4D">
            <w:pPr>
              <w:keepNext w:val="0"/>
              <w:keepLines w:val="0"/>
              <w:pageBreakBefore w:val="0"/>
              <w:kinsoku/>
              <w:overflowPunct/>
              <w:topLinePunct w:val="0"/>
              <w:bidi w:val="0"/>
              <w:adjustRightInd w:val="0"/>
              <w:spacing w:line="360" w:lineRule="auto"/>
              <w:ind w:firstLine="480" w:firstLineChars="200"/>
              <w:jc w:val="both"/>
              <w:outlineLvl w:val="9"/>
              <w:rPr>
                <w:rFonts w:hint="eastAsia" w:ascii="宋体" w:hAnsi="宋体" w:eastAsia="宋体" w:cs="宋体"/>
                <w:bCs/>
                <w:kern w:val="0"/>
                <w:sz w:val="24"/>
                <w:szCs w:val="24"/>
                <w:lang w:val="en-US" w:eastAsia="zh-CN"/>
              </w:rPr>
            </w:pPr>
            <w:r>
              <w:rPr>
                <w:rFonts w:hint="eastAsia" w:ascii="宋体" w:hAnsi="宋体" w:eastAsia="宋体" w:cs="宋体"/>
                <w:bCs/>
                <w:kern w:val="0"/>
                <w:sz w:val="24"/>
                <w:szCs w:val="24"/>
                <w:lang w:val="en-US" w:eastAsia="zh-CN"/>
              </w:rPr>
              <w:t>1.质量保证目标、规范及</w:t>
            </w:r>
            <w:r>
              <w:rPr>
                <w:rFonts w:hint="eastAsia" w:ascii="宋体" w:hAnsi="宋体" w:eastAsia="宋体" w:cs="宋体"/>
                <w:sz w:val="24"/>
                <w:szCs w:val="24"/>
                <w:lang w:val="en-US" w:eastAsia="en-US"/>
              </w:rPr>
              <w:t>制度</w:t>
            </w:r>
            <w:r>
              <w:rPr>
                <w:rFonts w:hint="eastAsia" w:ascii="宋体" w:hAnsi="宋体" w:eastAsia="宋体" w:cs="宋体"/>
                <w:bCs/>
                <w:kern w:val="0"/>
                <w:sz w:val="24"/>
                <w:szCs w:val="24"/>
                <w:lang w:val="en-US" w:eastAsia="zh-CN"/>
              </w:rPr>
              <w:t>；（3分）</w:t>
            </w:r>
          </w:p>
          <w:p w14:paraId="44FA13E4">
            <w:pPr>
              <w:keepNext w:val="0"/>
              <w:keepLines w:val="0"/>
              <w:pageBreakBefore w:val="0"/>
              <w:kinsoku/>
              <w:overflowPunct/>
              <w:topLinePunct w:val="0"/>
              <w:bidi w:val="0"/>
              <w:adjustRightInd w:val="0"/>
              <w:spacing w:line="360" w:lineRule="auto"/>
              <w:ind w:firstLine="480" w:firstLineChars="200"/>
              <w:jc w:val="both"/>
              <w:outlineLvl w:val="9"/>
              <w:rPr>
                <w:rFonts w:hint="eastAsia" w:ascii="宋体" w:hAnsi="宋体" w:eastAsia="宋体" w:cs="宋体"/>
                <w:bCs/>
                <w:kern w:val="0"/>
                <w:sz w:val="24"/>
                <w:szCs w:val="24"/>
                <w:lang w:val="en-US" w:eastAsia="zh-CN"/>
              </w:rPr>
            </w:pPr>
            <w:r>
              <w:rPr>
                <w:rFonts w:hint="eastAsia" w:ascii="宋体" w:hAnsi="宋体" w:eastAsia="宋体" w:cs="宋体"/>
                <w:bCs/>
                <w:kern w:val="0"/>
                <w:sz w:val="24"/>
                <w:szCs w:val="24"/>
                <w:lang w:val="en-US" w:eastAsia="zh-CN"/>
              </w:rPr>
              <w:t>2.质量保证措施、相应处罚承诺及服务质量保障改进措施</w:t>
            </w:r>
            <w:r>
              <w:rPr>
                <w:rFonts w:hint="eastAsia" w:ascii="宋体" w:hAnsi="宋体" w:eastAsia="宋体" w:cs="宋体"/>
                <w:b w:val="0"/>
                <w:bCs w:val="0"/>
                <w:sz w:val="24"/>
                <w:szCs w:val="24"/>
                <w:lang w:val="en-US" w:eastAsia="zh-CN"/>
              </w:rPr>
              <w:t>。（3分）</w:t>
            </w:r>
          </w:p>
          <w:p w14:paraId="3E43D1E2">
            <w:pPr>
              <w:keepNext w:val="0"/>
              <w:keepLines w:val="0"/>
              <w:pageBreakBefore w:val="0"/>
              <w:kinsoku/>
              <w:overflowPunct/>
              <w:topLinePunct w:val="0"/>
              <w:bidi w:val="0"/>
              <w:spacing w:line="360" w:lineRule="auto"/>
              <w:ind w:firstLine="480" w:firstLineChars="200"/>
              <w:jc w:val="left"/>
              <w:outlineLvl w:val="9"/>
              <w:rPr>
                <w:rFonts w:hint="eastAsia" w:ascii="宋体" w:hAnsi="宋体" w:eastAsia="宋体" w:cs="宋体"/>
                <w:bCs/>
                <w:kern w:val="0"/>
                <w:sz w:val="24"/>
                <w:szCs w:val="24"/>
              </w:rPr>
            </w:pPr>
            <w:r>
              <w:rPr>
                <w:rFonts w:hint="eastAsia" w:ascii="宋体" w:hAnsi="宋体" w:eastAsia="宋体" w:cs="宋体"/>
                <w:bCs/>
                <w:kern w:val="0"/>
                <w:sz w:val="24"/>
                <w:szCs w:val="24"/>
                <w:lang w:eastAsia="zh-CN"/>
              </w:rPr>
              <w:t>二、</w:t>
            </w:r>
            <w:r>
              <w:rPr>
                <w:rFonts w:hint="eastAsia" w:ascii="宋体" w:hAnsi="宋体" w:eastAsia="宋体" w:cs="宋体"/>
                <w:bCs/>
                <w:kern w:val="0"/>
                <w:sz w:val="24"/>
                <w:szCs w:val="24"/>
              </w:rPr>
              <w:t>评审标准：</w:t>
            </w:r>
          </w:p>
          <w:p w14:paraId="52AD8163">
            <w:pPr>
              <w:keepNext w:val="0"/>
              <w:keepLines w:val="0"/>
              <w:pageBreakBefore w:val="0"/>
              <w:numPr>
                <w:ilvl w:val="0"/>
                <w:numId w:val="0"/>
              </w:numPr>
              <w:kinsoku/>
              <w:overflowPunct/>
              <w:topLinePunct w:val="0"/>
              <w:bidi w:val="0"/>
              <w:spacing w:line="360" w:lineRule="auto"/>
              <w:ind w:left="0" w:leftChars="0" w:firstLine="480" w:firstLineChars="200"/>
              <w:jc w:val="both"/>
              <w:outlineLvl w:val="9"/>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以上评审</w:t>
            </w:r>
            <w:r>
              <w:rPr>
                <w:rFonts w:hint="eastAsia" w:ascii="宋体" w:hAnsi="宋体" w:eastAsia="宋体" w:cs="宋体"/>
                <w:color w:val="auto"/>
                <w:sz w:val="24"/>
                <w:szCs w:val="24"/>
                <w:highlight w:val="none"/>
                <w:lang w:eastAsia="zh-CN"/>
              </w:rPr>
              <w:t>内容描述清晰完整、科学合理、符合项目特点及规范要求、针对性强的，得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分；方案内容描述完整、科学合理、基本符合、缺乏针对性的，</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分；方案内容描述不完整、不合理的，得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分；未提供或未响应不得分。</w:t>
            </w:r>
          </w:p>
        </w:tc>
        <w:tc>
          <w:tcPr>
            <w:tcW w:w="825" w:type="dxa"/>
            <w:noWrap w:val="0"/>
            <w:vAlign w:val="center"/>
          </w:tcPr>
          <w:p w14:paraId="65865CC0">
            <w:pPr>
              <w:keepNext w:val="0"/>
              <w:keepLines w:val="0"/>
              <w:pageBreakBefore w:val="0"/>
              <w:kinsoku/>
              <w:overflowPunct/>
              <w:topLinePunct w:val="0"/>
              <w:bidi w:val="0"/>
              <w:jc w:val="center"/>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p>
        </w:tc>
      </w:tr>
      <w:tr w14:paraId="68587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27" w:type="dxa"/>
            <w:vMerge w:val="continue"/>
            <w:noWrap w:val="0"/>
            <w:vAlign w:val="top"/>
          </w:tcPr>
          <w:p w14:paraId="03AA5B91">
            <w:pPr>
              <w:shd w:val="clear" w:color="auto" w:fill="auto"/>
              <w:wordWrap/>
              <w:spacing w:line="240" w:lineRule="auto"/>
              <w:jc w:val="both"/>
              <w:outlineLvl w:val="9"/>
              <w:rPr>
                <w:rFonts w:hint="eastAsia" w:ascii="宋体" w:hAnsi="宋体" w:eastAsia="宋体" w:cs="宋体"/>
                <w:sz w:val="24"/>
                <w:szCs w:val="24"/>
              </w:rPr>
            </w:pPr>
          </w:p>
        </w:tc>
        <w:tc>
          <w:tcPr>
            <w:tcW w:w="1275" w:type="dxa"/>
            <w:noWrap w:val="0"/>
            <w:vAlign w:val="center"/>
          </w:tcPr>
          <w:p w14:paraId="32F0D3D4">
            <w:pPr>
              <w:keepNext w:val="0"/>
              <w:keepLines w:val="0"/>
              <w:pageBreakBefore w:val="0"/>
              <w:kinsoku/>
              <w:overflowPunct/>
              <w:topLinePunct w:val="0"/>
              <w:bidi w:val="0"/>
              <w:spacing w:line="360" w:lineRule="auto"/>
              <w:jc w:val="center"/>
              <w:outlineLvl w:val="9"/>
              <w:rPr>
                <w:rFonts w:hint="eastAsia" w:ascii="宋体" w:hAnsi="宋体" w:eastAsia="宋体" w:cs="宋体"/>
                <w:sz w:val="24"/>
                <w:szCs w:val="24"/>
              </w:rPr>
            </w:pPr>
            <w:r>
              <w:rPr>
                <w:rFonts w:hint="eastAsia" w:ascii="宋体" w:hAnsi="宋体" w:eastAsia="宋体" w:cs="宋体"/>
                <w:sz w:val="24"/>
                <w:szCs w:val="24"/>
                <w:lang w:val="en-US" w:eastAsia="zh-CN"/>
              </w:rPr>
              <w:t>安全、文明作业方案</w:t>
            </w:r>
          </w:p>
        </w:tc>
        <w:tc>
          <w:tcPr>
            <w:tcW w:w="5745" w:type="dxa"/>
            <w:noWrap w:val="0"/>
            <w:vAlign w:val="center"/>
          </w:tcPr>
          <w:p w14:paraId="70158027">
            <w:pPr>
              <w:keepNext w:val="0"/>
              <w:keepLines w:val="0"/>
              <w:pageBreakBefore w:val="0"/>
              <w:kinsoku/>
              <w:overflowPunct/>
              <w:topLinePunct w:val="0"/>
              <w:bidi w:val="0"/>
              <w:adjustRightInd w:val="0"/>
              <w:spacing w:line="360" w:lineRule="auto"/>
              <w:ind w:firstLine="480" w:firstLineChars="200"/>
              <w:outlineLvl w:val="9"/>
              <w:rPr>
                <w:rFonts w:hint="eastAsia" w:ascii="宋体" w:hAnsi="宋体" w:eastAsia="宋体" w:cs="宋体"/>
                <w:bCs/>
                <w:kern w:val="0"/>
                <w:sz w:val="24"/>
                <w:szCs w:val="24"/>
              </w:rPr>
            </w:pPr>
            <w:r>
              <w:rPr>
                <w:rFonts w:hint="eastAsia" w:ascii="宋体" w:hAnsi="宋体" w:eastAsia="宋体" w:cs="宋体"/>
                <w:bCs/>
                <w:kern w:val="0"/>
                <w:sz w:val="24"/>
                <w:szCs w:val="24"/>
              </w:rPr>
              <w:t>一、评审内容：</w:t>
            </w:r>
          </w:p>
          <w:p w14:paraId="0286760A">
            <w:pPr>
              <w:keepNext w:val="0"/>
              <w:keepLines w:val="0"/>
              <w:pageBreakBefore w:val="0"/>
              <w:kinsoku/>
              <w:overflowPunct/>
              <w:topLinePunct w:val="0"/>
              <w:bidi w:val="0"/>
              <w:spacing w:line="360" w:lineRule="auto"/>
              <w:ind w:firstLine="480" w:firstLineChars="200"/>
              <w:outlineLvl w:val="9"/>
              <w:rPr>
                <w:rFonts w:hint="eastAsia" w:ascii="宋体" w:hAnsi="宋体" w:eastAsia="宋体" w:cs="宋体"/>
                <w:sz w:val="24"/>
                <w:szCs w:val="24"/>
                <w:lang w:val="en-US" w:eastAsia="zh-CN"/>
              </w:rPr>
            </w:pPr>
            <w:r>
              <w:rPr>
                <w:rFonts w:hint="eastAsia" w:ascii="宋体" w:hAnsi="宋体" w:eastAsia="宋体" w:cs="宋体"/>
                <w:kern w:val="0"/>
                <w:sz w:val="24"/>
                <w:szCs w:val="24"/>
                <w:lang w:val="en-US" w:eastAsia="zh-CN"/>
              </w:rPr>
              <w:t>供应商结合项目实际情况制定</w:t>
            </w:r>
            <w:r>
              <w:rPr>
                <w:rFonts w:hint="eastAsia" w:ascii="宋体" w:hAnsi="宋体" w:eastAsia="宋体" w:cs="宋体"/>
                <w:sz w:val="24"/>
                <w:szCs w:val="24"/>
                <w:lang w:val="en-US" w:eastAsia="zh-CN"/>
              </w:rPr>
              <w:t>安全、文明作业方案</w:t>
            </w:r>
            <w:r>
              <w:rPr>
                <w:rFonts w:hint="eastAsia" w:ascii="宋体" w:hAnsi="宋体" w:eastAsia="宋体" w:cs="宋体"/>
                <w:kern w:val="0"/>
                <w:sz w:val="24"/>
                <w:szCs w:val="24"/>
                <w:lang w:val="en-US" w:eastAsia="zh-CN"/>
              </w:rPr>
              <w:t>，</w:t>
            </w:r>
            <w:r>
              <w:rPr>
                <w:rFonts w:hint="eastAsia" w:ascii="宋体" w:hAnsi="宋体" w:eastAsia="宋体" w:cs="宋体"/>
                <w:bCs/>
                <w:kern w:val="0"/>
                <w:sz w:val="24"/>
                <w:szCs w:val="24"/>
                <w:lang w:val="en-US" w:eastAsia="zh-CN"/>
              </w:rPr>
              <w:t>内容包含但不限于：</w:t>
            </w:r>
          </w:p>
          <w:p w14:paraId="43D3B57F">
            <w:pPr>
              <w:keepNext w:val="0"/>
              <w:keepLines w:val="0"/>
              <w:pageBreakBefore w:val="0"/>
              <w:numPr>
                <w:ilvl w:val="0"/>
                <w:numId w:val="0"/>
              </w:numPr>
              <w:kinsoku/>
              <w:overflowPunct/>
              <w:topLinePunct w:val="0"/>
              <w:bidi w:val="0"/>
              <w:spacing w:line="360" w:lineRule="auto"/>
              <w:ind w:left="480" w:leftChars="0"/>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1.安全培训及安全保障方案；（</w:t>
            </w:r>
            <w:r>
              <w:rPr>
                <w:rFonts w:hint="eastAsia" w:ascii="宋体" w:hAnsi="宋体" w:eastAsia="宋体" w:cs="宋体"/>
                <w:bCs/>
                <w:kern w:val="0"/>
                <w:sz w:val="24"/>
                <w:szCs w:val="24"/>
                <w:lang w:val="en-US" w:eastAsia="zh-CN"/>
              </w:rPr>
              <w:t>3分）</w:t>
            </w:r>
          </w:p>
          <w:p w14:paraId="198A3C3A">
            <w:pPr>
              <w:keepNext w:val="0"/>
              <w:keepLines w:val="0"/>
              <w:pageBreakBefore w:val="0"/>
              <w:numPr>
                <w:ilvl w:val="0"/>
                <w:numId w:val="0"/>
              </w:numPr>
              <w:kinsoku/>
              <w:overflowPunct/>
              <w:topLinePunct w:val="0"/>
              <w:bidi w:val="0"/>
              <w:spacing w:line="360" w:lineRule="auto"/>
              <w:ind w:left="480" w:leftChars="0"/>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2.文明培训及文明作业方案。</w:t>
            </w:r>
            <w:r>
              <w:rPr>
                <w:rFonts w:hint="eastAsia" w:ascii="宋体" w:hAnsi="宋体" w:eastAsia="宋体" w:cs="宋体"/>
                <w:bCs/>
                <w:kern w:val="0"/>
                <w:sz w:val="24"/>
                <w:szCs w:val="24"/>
                <w:lang w:val="en-US" w:eastAsia="zh-CN"/>
              </w:rPr>
              <w:t>（3分）</w:t>
            </w:r>
          </w:p>
          <w:p w14:paraId="3C277B47">
            <w:pPr>
              <w:keepNext w:val="0"/>
              <w:keepLines w:val="0"/>
              <w:pageBreakBefore w:val="0"/>
              <w:kinsoku/>
              <w:overflowPunct/>
              <w:topLinePunct w:val="0"/>
              <w:bidi w:val="0"/>
              <w:spacing w:line="360" w:lineRule="auto"/>
              <w:ind w:left="420" w:leftChars="200" w:firstLine="0" w:firstLineChars="0"/>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二、评审标准：</w:t>
            </w:r>
          </w:p>
          <w:p w14:paraId="479017AF">
            <w:pPr>
              <w:keepNext w:val="0"/>
              <w:keepLines w:val="0"/>
              <w:pageBreakBefore w:val="0"/>
              <w:numPr>
                <w:ilvl w:val="0"/>
                <w:numId w:val="0"/>
              </w:numPr>
              <w:kinsoku/>
              <w:overflowPunct/>
              <w:topLinePunct w:val="0"/>
              <w:bidi w:val="0"/>
              <w:spacing w:line="360" w:lineRule="auto"/>
              <w:ind w:left="0" w:leftChars="0" w:firstLine="480" w:firstLineChars="200"/>
              <w:outlineLvl w:val="9"/>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以上评审</w:t>
            </w:r>
            <w:r>
              <w:rPr>
                <w:rFonts w:hint="eastAsia" w:ascii="宋体" w:hAnsi="宋体" w:eastAsia="宋体" w:cs="宋体"/>
                <w:color w:val="auto"/>
                <w:sz w:val="24"/>
                <w:szCs w:val="24"/>
                <w:highlight w:val="none"/>
                <w:lang w:eastAsia="zh-CN"/>
              </w:rPr>
              <w:t>内容描述清晰完整、科学合理、符合项目特点及规范要求、针对性强的，得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分；方案内容描述完整、科学合理、基本符合、缺乏针对性的，</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分；方案内容描述不完整、不合理的，得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分；未提供或未响应不得分。</w:t>
            </w:r>
          </w:p>
        </w:tc>
        <w:tc>
          <w:tcPr>
            <w:tcW w:w="825" w:type="dxa"/>
            <w:noWrap w:val="0"/>
            <w:vAlign w:val="center"/>
          </w:tcPr>
          <w:p w14:paraId="0D3EAC92">
            <w:pPr>
              <w:keepNext w:val="0"/>
              <w:keepLines w:val="0"/>
              <w:pageBreakBefore w:val="0"/>
              <w:kinsoku/>
              <w:overflowPunct/>
              <w:topLinePunct w:val="0"/>
              <w:bidi w:val="0"/>
              <w:jc w:val="center"/>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p>
        </w:tc>
      </w:tr>
      <w:tr w14:paraId="5E5F6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27" w:type="dxa"/>
            <w:vMerge w:val="continue"/>
            <w:noWrap w:val="0"/>
            <w:vAlign w:val="top"/>
          </w:tcPr>
          <w:p w14:paraId="34188437">
            <w:pPr>
              <w:shd w:val="clear" w:color="auto" w:fill="auto"/>
              <w:wordWrap/>
              <w:spacing w:line="240" w:lineRule="auto"/>
              <w:jc w:val="both"/>
              <w:outlineLvl w:val="9"/>
              <w:rPr>
                <w:rFonts w:hint="eastAsia" w:ascii="宋体" w:hAnsi="宋体" w:eastAsia="宋体" w:cs="宋体"/>
                <w:sz w:val="24"/>
                <w:szCs w:val="24"/>
              </w:rPr>
            </w:pPr>
          </w:p>
        </w:tc>
        <w:tc>
          <w:tcPr>
            <w:tcW w:w="1275" w:type="dxa"/>
            <w:noWrap w:val="0"/>
            <w:vAlign w:val="center"/>
          </w:tcPr>
          <w:p w14:paraId="700AA267">
            <w:pPr>
              <w:keepNext w:val="0"/>
              <w:keepLines w:val="0"/>
              <w:pageBreakBefore w:val="0"/>
              <w:kinsoku/>
              <w:wordWrap/>
              <w:overflowPunct/>
              <w:topLinePunct w:val="0"/>
              <w:bidi w:val="0"/>
              <w:snapToGrid/>
              <w:spacing w:line="360" w:lineRule="auto"/>
              <w:jc w:val="center"/>
              <w:outlineLvl w:val="9"/>
              <w:rPr>
                <w:rFonts w:hint="eastAsia" w:ascii="宋体" w:hAnsi="宋体" w:eastAsia="宋体" w:cs="宋体"/>
                <w:sz w:val="24"/>
                <w:szCs w:val="24"/>
              </w:rPr>
            </w:pPr>
            <w:r>
              <w:rPr>
                <w:rFonts w:hint="eastAsia" w:ascii="宋体" w:hAnsi="宋体" w:eastAsia="宋体" w:cs="宋体"/>
                <w:sz w:val="24"/>
                <w:szCs w:val="24"/>
                <w:lang w:val="en-US" w:eastAsia="en-US"/>
              </w:rPr>
              <w:t>对突发性事件的应急及保障措施</w:t>
            </w:r>
          </w:p>
        </w:tc>
        <w:tc>
          <w:tcPr>
            <w:tcW w:w="5745" w:type="dxa"/>
            <w:noWrap w:val="0"/>
            <w:vAlign w:val="center"/>
          </w:tcPr>
          <w:p w14:paraId="4D170B22">
            <w:pPr>
              <w:keepNext w:val="0"/>
              <w:keepLines w:val="0"/>
              <w:pageBreakBefore w:val="0"/>
              <w:kinsoku/>
              <w:wordWrap/>
              <w:overflowPunct/>
              <w:topLinePunct w:val="0"/>
              <w:bidi w:val="0"/>
              <w:adjustRightInd w:val="0"/>
              <w:snapToGrid/>
              <w:spacing w:line="360" w:lineRule="auto"/>
              <w:ind w:firstLine="480" w:firstLineChars="20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rPr>
              <w:t>一、评审内容：</w:t>
            </w:r>
          </w:p>
          <w:p w14:paraId="41AA1B73">
            <w:pPr>
              <w:keepNext w:val="0"/>
              <w:keepLines w:val="0"/>
              <w:pageBreakBefore w:val="0"/>
              <w:kinsoku/>
              <w:wordWrap/>
              <w:overflowPunct/>
              <w:topLinePunct w:val="0"/>
              <w:bidi w:val="0"/>
              <w:snapToGrid/>
              <w:spacing w:line="360" w:lineRule="auto"/>
              <w:ind w:firstLine="480" w:firstLineChars="200"/>
              <w:jc w:val="both"/>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供应商针对本项目特点和实际情况制定突发应急处理方案，</w:t>
            </w:r>
            <w:r>
              <w:rPr>
                <w:rFonts w:hint="eastAsia" w:ascii="宋体" w:hAnsi="宋体" w:eastAsia="宋体" w:cs="宋体"/>
                <w:color w:val="000000"/>
                <w:sz w:val="24"/>
                <w:szCs w:val="24"/>
                <w:lang w:val="en-US" w:eastAsia="zh-CN"/>
              </w:rPr>
              <w:t>内容包含但不限于：</w:t>
            </w:r>
          </w:p>
          <w:p w14:paraId="68DA02C3">
            <w:pPr>
              <w:keepNext w:val="0"/>
              <w:keepLines w:val="0"/>
              <w:pageBreakBefore w:val="0"/>
              <w:kinsoku/>
              <w:wordWrap/>
              <w:overflowPunct/>
              <w:topLinePunct w:val="0"/>
              <w:bidi w:val="0"/>
              <w:snapToGrid/>
              <w:spacing w:line="360" w:lineRule="auto"/>
              <w:ind w:firstLine="480" w:firstLineChars="200"/>
              <w:jc w:val="left"/>
              <w:outlineLvl w:val="9"/>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1.</w:t>
            </w:r>
            <w:r>
              <w:rPr>
                <w:rFonts w:hint="eastAsia" w:ascii="宋体" w:hAnsi="宋体" w:eastAsia="宋体" w:cs="宋体"/>
                <w:bCs/>
                <w:kern w:val="0"/>
                <w:sz w:val="24"/>
                <w:szCs w:val="24"/>
                <w:lang w:eastAsia="zh-CN"/>
              </w:rPr>
              <w:t>应急组织架构及响应机制；（</w:t>
            </w:r>
            <w:r>
              <w:rPr>
                <w:rFonts w:hint="eastAsia" w:ascii="宋体" w:hAnsi="宋体" w:eastAsia="宋体" w:cs="宋体"/>
                <w:bCs/>
                <w:kern w:val="0"/>
                <w:sz w:val="24"/>
                <w:szCs w:val="24"/>
                <w:lang w:val="en-US" w:eastAsia="zh-CN"/>
              </w:rPr>
              <w:t>3</w:t>
            </w:r>
            <w:r>
              <w:rPr>
                <w:rFonts w:hint="eastAsia" w:ascii="宋体" w:hAnsi="宋体" w:eastAsia="宋体" w:cs="宋体"/>
                <w:bCs/>
                <w:kern w:val="0"/>
                <w:sz w:val="24"/>
                <w:szCs w:val="24"/>
                <w:lang w:eastAsia="zh-CN"/>
              </w:rPr>
              <w:t>分）</w:t>
            </w:r>
          </w:p>
          <w:p w14:paraId="47196382">
            <w:pPr>
              <w:keepNext w:val="0"/>
              <w:keepLines w:val="0"/>
              <w:pageBreakBefore w:val="0"/>
              <w:kinsoku/>
              <w:wordWrap/>
              <w:overflowPunct/>
              <w:topLinePunct w:val="0"/>
              <w:bidi w:val="0"/>
              <w:snapToGrid/>
              <w:spacing w:line="360" w:lineRule="auto"/>
              <w:ind w:firstLine="480" w:firstLineChars="200"/>
              <w:jc w:val="left"/>
              <w:outlineLvl w:val="9"/>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2.</w:t>
            </w:r>
            <w:r>
              <w:rPr>
                <w:rFonts w:hint="eastAsia" w:ascii="宋体" w:hAnsi="宋体" w:eastAsia="宋体" w:cs="宋体"/>
                <w:bCs/>
                <w:kern w:val="0"/>
                <w:sz w:val="24"/>
                <w:szCs w:val="24"/>
                <w:lang w:eastAsia="zh-CN"/>
              </w:rPr>
              <w:t>突发事件处置措施及风险防控预案。（</w:t>
            </w:r>
            <w:r>
              <w:rPr>
                <w:rFonts w:hint="eastAsia" w:ascii="宋体" w:hAnsi="宋体" w:eastAsia="宋体" w:cs="宋体"/>
                <w:bCs/>
                <w:kern w:val="0"/>
                <w:sz w:val="24"/>
                <w:szCs w:val="24"/>
                <w:lang w:val="en-US" w:eastAsia="zh-CN"/>
              </w:rPr>
              <w:t>3</w:t>
            </w:r>
            <w:r>
              <w:rPr>
                <w:rFonts w:hint="eastAsia" w:ascii="宋体" w:hAnsi="宋体" w:eastAsia="宋体" w:cs="宋体"/>
                <w:bCs/>
                <w:kern w:val="0"/>
                <w:sz w:val="24"/>
                <w:szCs w:val="24"/>
                <w:lang w:eastAsia="zh-CN"/>
              </w:rPr>
              <w:t>分）</w:t>
            </w:r>
          </w:p>
          <w:p w14:paraId="130780C0">
            <w:pPr>
              <w:keepNext w:val="0"/>
              <w:keepLines w:val="0"/>
              <w:pageBreakBefore w:val="0"/>
              <w:kinsoku/>
              <w:wordWrap/>
              <w:overflowPunct/>
              <w:topLinePunct w:val="0"/>
              <w:bidi w:val="0"/>
              <w:snapToGrid/>
              <w:spacing w:line="360" w:lineRule="auto"/>
              <w:ind w:firstLine="480" w:firstLineChars="200"/>
              <w:jc w:val="left"/>
              <w:outlineLvl w:val="9"/>
              <w:rPr>
                <w:rFonts w:hint="eastAsia" w:ascii="宋体" w:hAnsi="宋体" w:eastAsia="宋体" w:cs="宋体"/>
                <w:bCs/>
                <w:kern w:val="0"/>
                <w:sz w:val="24"/>
                <w:szCs w:val="24"/>
              </w:rPr>
            </w:pPr>
            <w:r>
              <w:rPr>
                <w:rFonts w:hint="eastAsia" w:ascii="宋体" w:hAnsi="宋体" w:eastAsia="宋体" w:cs="宋体"/>
                <w:bCs/>
                <w:kern w:val="0"/>
                <w:sz w:val="24"/>
                <w:szCs w:val="24"/>
                <w:lang w:eastAsia="zh-CN"/>
              </w:rPr>
              <w:t>二、</w:t>
            </w:r>
            <w:r>
              <w:rPr>
                <w:rFonts w:hint="eastAsia" w:ascii="宋体" w:hAnsi="宋体" w:eastAsia="宋体" w:cs="宋体"/>
                <w:bCs/>
                <w:kern w:val="0"/>
                <w:sz w:val="24"/>
                <w:szCs w:val="24"/>
              </w:rPr>
              <w:t>评审标准：</w:t>
            </w:r>
          </w:p>
          <w:p w14:paraId="0CE5D1C8">
            <w:pPr>
              <w:keepNext w:val="0"/>
              <w:keepLines w:val="0"/>
              <w:pageBreakBefore w:val="0"/>
              <w:kinsoku/>
              <w:wordWrap/>
              <w:overflowPunct/>
              <w:topLinePunct w:val="0"/>
              <w:bidi w:val="0"/>
              <w:snapToGrid/>
              <w:spacing w:line="360" w:lineRule="auto"/>
              <w:jc w:val="both"/>
              <w:outlineLvl w:val="9"/>
              <w:rPr>
                <w:rFonts w:hint="eastAsia" w:ascii="宋体" w:hAnsi="宋体" w:eastAsia="宋体" w:cs="宋体"/>
                <w:sz w:val="24"/>
                <w:szCs w:val="24"/>
                <w:lang w:val="en-US" w:eastAsia="zh-CN"/>
              </w:rPr>
            </w:pPr>
            <w:r>
              <w:rPr>
                <w:rFonts w:hint="eastAsia" w:ascii="宋体" w:hAnsi="宋体" w:eastAsia="宋体" w:cs="宋体"/>
                <w:sz w:val="24"/>
                <w:szCs w:val="24"/>
              </w:rPr>
              <w:t xml:space="preserve">    </w:t>
            </w:r>
            <w:r>
              <w:rPr>
                <w:rFonts w:hint="eastAsia" w:ascii="宋体" w:hAnsi="宋体" w:eastAsia="宋体" w:cs="宋体"/>
                <w:color w:val="auto"/>
                <w:sz w:val="24"/>
                <w:szCs w:val="24"/>
                <w:highlight w:val="none"/>
                <w:lang w:val="en-US" w:eastAsia="zh-CN"/>
              </w:rPr>
              <w:t>以上评审</w:t>
            </w:r>
            <w:r>
              <w:rPr>
                <w:rFonts w:hint="eastAsia" w:ascii="宋体" w:hAnsi="宋体" w:eastAsia="宋体" w:cs="宋体"/>
                <w:color w:val="auto"/>
                <w:sz w:val="24"/>
                <w:szCs w:val="24"/>
                <w:highlight w:val="none"/>
                <w:lang w:eastAsia="zh-CN"/>
              </w:rPr>
              <w:t>内容描述清晰完整、科学合理、符合项目特点及规范要求、针对性强的，得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分；方案内容描述完整、科学合理、基本符合、缺乏针对性的，</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分；方案内容描述不完整、不合理的，得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分；未提供或未响应不得分。</w:t>
            </w:r>
          </w:p>
        </w:tc>
        <w:tc>
          <w:tcPr>
            <w:tcW w:w="825" w:type="dxa"/>
            <w:noWrap w:val="0"/>
            <w:vAlign w:val="center"/>
          </w:tcPr>
          <w:p w14:paraId="636634DF">
            <w:pPr>
              <w:keepNext w:val="0"/>
              <w:keepLines w:val="0"/>
              <w:pageBreakBefore w:val="0"/>
              <w:kinsoku/>
              <w:overflowPunct/>
              <w:topLinePunct w:val="0"/>
              <w:bidi w:val="0"/>
              <w:spacing w:line="360" w:lineRule="auto"/>
              <w:jc w:val="center"/>
              <w:outlineLvl w:val="9"/>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rPr>
              <w:t>6</w:t>
            </w:r>
          </w:p>
        </w:tc>
      </w:tr>
      <w:tr w14:paraId="7C96B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502" w:type="dxa"/>
            <w:gridSpan w:val="2"/>
            <w:noWrap w:val="0"/>
            <w:vAlign w:val="center"/>
          </w:tcPr>
          <w:p w14:paraId="1D394EF3">
            <w:pPr>
              <w:shd w:val="clear" w:color="auto" w:fill="auto"/>
              <w:wordWrap/>
              <w:spacing w:line="240" w:lineRule="auto"/>
              <w:jc w:val="center"/>
              <w:outlineLvl w:val="9"/>
              <w:rPr>
                <w:rFonts w:hint="eastAsia" w:ascii="宋体" w:hAnsi="宋体" w:eastAsia="宋体" w:cs="宋体"/>
                <w:b w:val="0"/>
                <w:bCs/>
                <w:sz w:val="24"/>
                <w:szCs w:val="24"/>
              </w:rPr>
            </w:pPr>
            <w:r>
              <w:rPr>
                <w:rFonts w:hint="eastAsia" w:ascii="宋体" w:hAnsi="宋体" w:eastAsia="宋体" w:cs="宋体"/>
                <w:b w:val="0"/>
                <w:bCs/>
                <w:sz w:val="24"/>
                <w:szCs w:val="24"/>
              </w:rPr>
              <w:t>总分</w:t>
            </w:r>
          </w:p>
        </w:tc>
        <w:tc>
          <w:tcPr>
            <w:tcW w:w="6570" w:type="dxa"/>
            <w:gridSpan w:val="2"/>
            <w:noWrap w:val="0"/>
            <w:vAlign w:val="center"/>
          </w:tcPr>
          <w:p w14:paraId="4CBE7FF8">
            <w:pPr>
              <w:shd w:val="clear" w:color="auto" w:fill="auto"/>
              <w:wordWrap/>
              <w:spacing w:line="240" w:lineRule="auto"/>
              <w:jc w:val="center"/>
              <w:outlineLvl w:val="9"/>
              <w:rPr>
                <w:rFonts w:hint="eastAsia" w:ascii="宋体" w:hAnsi="宋体" w:eastAsia="宋体" w:cs="宋体"/>
                <w:b w:val="0"/>
                <w:bCs/>
                <w:sz w:val="24"/>
                <w:szCs w:val="24"/>
              </w:rPr>
            </w:pPr>
            <w:r>
              <w:rPr>
                <w:rFonts w:hint="eastAsia" w:ascii="宋体" w:hAnsi="宋体" w:eastAsia="宋体" w:cs="宋体"/>
                <w:b w:val="0"/>
                <w:bCs/>
                <w:sz w:val="24"/>
                <w:szCs w:val="24"/>
              </w:rPr>
              <w:t>100</w:t>
            </w:r>
          </w:p>
        </w:tc>
      </w:tr>
      <w:tr w14:paraId="0B2B1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72" w:type="dxa"/>
            <w:gridSpan w:val="4"/>
            <w:noWrap w:val="0"/>
            <w:vAlign w:val="center"/>
          </w:tcPr>
          <w:p w14:paraId="2486F010">
            <w:pPr>
              <w:keepNext w:val="0"/>
              <w:keepLines w:val="0"/>
              <w:pageBreakBefore w:val="0"/>
              <w:widowControl/>
              <w:kinsoku/>
              <w:wordWrap/>
              <w:overflowPunct/>
              <w:topLinePunct w:val="0"/>
              <w:bidi w:val="0"/>
              <w:snapToGrid/>
              <w:spacing w:line="480" w:lineRule="auto"/>
              <w:jc w:val="both"/>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说明：</w:t>
            </w:r>
          </w:p>
          <w:p w14:paraId="2A8D16D3">
            <w:pPr>
              <w:keepNext w:val="0"/>
              <w:keepLines w:val="0"/>
              <w:pageBreakBefore w:val="0"/>
              <w:widowControl/>
              <w:kinsoku/>
              <w:wordWrap/>
              <w:overflowPunct/>
              <w:topLinePunct w:val="0"/>
              <w:bidi w:val="0"/>
              <w:snapToGrid/>
              <w:spacing w:line="480" w:lineRule="auto"/>
              <w:jc w:val="both"/>
              <w:textAlignment w:val="auto"/>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上</w:t>
            </w:r>
            <w:r>
              <w:rPr>
                <w:rFonts w:hint="eastAsia" w:ascii="宋体" w:hAnsi="宋体" w:eastAsia="宋体" w:cs="宋体"/>
                <w:kern w:val="0"/>
                <w:sz w:val="24"/>
                <w:szCs w:val="24"/>
                <w:highlight w:val="none"/>
              </w:rPr>
              <w:t>述技术方案中，区间量化指标：</w:t>
            </w:r>
          </w:p>
          <w:p w14:paraId="61135977">
            <w:pPr>
              <w:keepNext w:val="0"/>
              <w:keepLines w:val="0"/>
              <w:pageBreakBefore w:val="0"/>
              <w:widowControl/>
              <w:kinsoku/>
              <w:wordWrap/>
              <w:overflowPunct/>
              <w:topLinePunct w:val="0"/>
              <w:bidi w:val="0"/>
              <w:snapToGrid/>
              <w:spacing w:line="480" w:lineRule="auto"/>
              <w:ind w:left="0" w:leftChars="0" w:firstLine="0" w:firstLineChars="0"/>
              <w:jc w:val="both"/>
              <w:textAlignment w:val="auto"/>
              <w:outlineLvl w:val="9"/>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1、描述清晰完整、科学合理、符合项目特点及规范要求、针对性强：</w:t>
            </w:r>
          </w:p>
          <w:p w14:paraId="1A5F1DAF">
            <w:pPr>
              <w:keepNext w:val="0"/>
              <w:keepLines w:val="0"/>
              <w:pageBreakBefore w:val="0"/>
              <w:widowControl/>
              <w:kinsoku/>
              <w:wordWrap/>
              <w:overflowPunct/>
              <w:topLinePunct w:val="0"/>
              <w:bidi w:val="0"/>
              <w:snapToGrid/>
              <w:spacing w:line="480" w:lineRule="auto"/>
              <w:ind w:left="0" w:leftChars="0" w:firstLine="0" w:firstLineChars="0"/>
              <w:jc w:val="both"/>
              <w:textAlignment w:val="auto"/>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(1)方案完全响应采购需求要求，</w:t>
            </w:r>
          </w:p>
          <w:p w14:paraId="34393C75">
            <w:pPr>
              <w:keepNext w:val="0"/>
              <w:keepLines w:val="0"/>
              <w:pageBreakBefore w:val="0"/>
              <w:widowControl/>
              <w:kinsoku/>
              <w:wordWrap/>
              <w:overflowPunct/>
              <w:topLinePunct w:val="0"/>
              <w:bidi w:val="0"/>
              <w:snapToGrid/>
              <w:spacing w:line="480" w:lineRule="auto"/>
              <w:ind w:left="0" w:leftChars="0" w:firstLine="0" w:firstLineChars="0"/>
              <w:jc w:val="both"/>
              <w:textAlignment w:val="auto"/>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(2)对项目内容作了有针对性的全面、具体分析，</w:t>
            </w:r>
          </w:p>
          <w:p w14:paraId="5EC31D43">
            <w:pPr>
              <w:keepNext w:val="0"/>
              <w:keepLines w:val="0"/>
              <w:pageBreakBefore w:val="0"/>
              <w:widowControl/>
              <w:kinsoku/>
              <w:wordWrap/>
              <w:overflowPunct/>
              <w:topLinePunct w:val="0"/>
              <w:bidi w:val="0"/>
              <w:snapToGrid/>
              <w:spacing w:line="480" w:lineRule="auto"/>
              <w:ind w:left="0" w:leftChars="0" w:firstLine="0" w:firstLineChars="0"/>
              <w:jc w:val="both"/>
              <w:textAlignment w:val="auto"/>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(3)提供的响应方案基于服务需求的全口径，提出了具有可行性的现状情况预判，</w:t>
            </w:r>
          </w:p>
          <w:p w14:paraId="418668A8">
            <w:pPr>
              <w:keepNext w:val="0"/>
              <w:keepLines w:val="0"/>
              <w:pageBreakBefore w:val="0"/>
              <w:widowControl/>
              <w:kinsoku/>
              <w:wordWrap/>
              <w:overflowPunct/>
              <w:topLinePunct w:val="0"/>
              <w:bidi w:val="0"/>
              <w:snapToGrid/>
              <w:spacing w:line="480" w:lineRule="auto"/>
              <w:ind w:left="0" w:leftChars="0" w:firstLine="0" w:firstLineChars="0"/>
              <w:jc w:val="both"/>
              <w:textAlignment w:val="auto"/>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(4)准确把握项目重难点，分析各类情况可能发生的不可预见性，并尽可能列明多种详细预案，</w:t>
            </w:r>
          </w:p>
          <w:p w14:paraId="40C73336">
            <w:pPr>
              <w:keepNext w:val="0"/>
              <w:keepLines w:val="0"/>
              <w:pageBreakBefore w:val="0"/>
              <w:widowControl/>
              <w:kinsoku/>
              <w:wordWrap/>
              <w:overflowPunct/>
              <w:topLinePunct w:val="0"/>
              <w:bidi w:val="0"/>
              <w:snapToGrid/>
              <w:spacing w:line="480" w:lineRule="auto"/>
              <w:ind w:left="0" w:leftChars="0" w:firstLine="0" w:firstLineChars="0"/>
              <w:jc w:val="both"/>
              <w:textAlignment w:val="auto"/>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(5)针对各类服务要求的不同特点及性能提供个性化的服务解决方案，也可以举例论证，</w:t>
            </w:r>
          </w:p>
          <w:p w14:paraId="4CF77FA7">
            <w:pPr>
              <w:keepNext w:val="0"/>
              <w:keepLines w:val="0"/>
              <w:pageBreakBefore w:val="0"/>
              <w:widowControl/>
              <w:kinsoku/>
              <w:wordWrap/>
              <w:overflowPunct/>
              <w:topLinePunct w:val="0"/>
              <w:bidi w:val="0"/>
              <w:snapToGrid/>
              <w:spacing w:line="480" w:lineRule="auto"/>
              <w:ind w:left="0" w:leftChars="0" w:firstLine="0" w:firstLineChars="0"/>
              <w:jc w:val="both"/>
              <w:textAlignment w:val="auto"/>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(6)对于资料、数据等响应方案的支撑材料提供细致、具体，具有一定的论证支撑性及可追溯性。</w:t>
            </w:r>
          </w:p>
          <w:p w14:paraId="081C7A7D">
            <w:pPr>
              <w:keepNext w:val="0"/>
              <w:keepLines w:val="0"/>
              <w:pageBreakBefore w:val="0"/>
              <w:widowControl/>
              <w:kinsoku/>
              <w:wordWrap/>
              <w:overflowPunct/>
              <w:topLinePunct w:val="0"/>
              <w:bidi w:val="0"/>
              <w:snapToGrid/>
              <w:spacing w:line="480" w:lineRule="auto"/>
              <w:ind w:left="0" w:leftChars="0" w:firstLine="0" w:firstLineChars="0"/>
              <w:jc w:val="both"/>
              <w:textAlignment w:val="auto"/>
              <w:outlineLvl w:val="9"/>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2、描述完整、科学合理、基本符合、缺乏针对性：</w:t>
            </w:r>
          </w:p>
          <w:p w14:paraId="77862F4E">
            <w:pPr>
              <w:keepNext w:val="0"/>
              <w:keepLines w:val="0"/>
              <w:pageBreakBefore w:val="0"/>
              <w:widowControl/>
              <w:kinsoku/>
              <w:wordWrap/>
              <w:overflowPunct/>
              <w:topLinePunct w:val="0"/>
              <w:bidi w:val="0"/>
              <w:snapToGrid/>
              <w:spacing w:line="480" w:lineRule="auto"/>
              <w:ind w:left="0" w:leftChars="0" w:firstLine="0" w:firstLineChars="0"/>
              <w:jc w:val="both"/>
              <w:textAlignment w:val="auto"/>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(1)响应方案不完整，和采购需求存在微小偏差和响应缺项，</w:t>
            </w:r>
          </w:p>
          <w:p w14:paraId="550979C1">
            <w:pPr>
              <w:keepNext w:val="0"/>
              <w:keepLines w:val="0"/>
              <w:pageBreakBefore w:val="0"/>
              <w:widowControl/>
              <w:kinsoku/>
              <w:wordWrap/>
              <w:overflowPunct/>
              <w:topLinePunct w:val="0"/>
              <w:bidi w:val="0"/>
              <w:snapToGrid/>
              <w:spacing w:line="480" w:lineRule="auto"/>
              <w:ind w:left="0" w:leftChars="0" w:firstLine="0" w:firstLineChars="0"/>
              <w:jc w:val="both"/>
              <w:textAlignment w:val="auto"/>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(2)对项目内容分析有一定的层次性，能大体体现项目要求，</w:t>
            </w:r>
          </w:p>
          <w:p w14:paraId="74E07D8F">
            <w:pPr>
              <w:keepNext w:val="0"/>
              <w:keepLines w:val="0"/>
              <w:pageBreakBefore w:val="0"/>
              <w:widowControl/>
              <w:kinsoku/>
              <w:wordWrap/>
              <w:overflowPunct/>
              <w:topLinePunct w:val="0"/>
              <w:bidi w:val="0"/>
              <w:snapToGrid/>
              <w:spacing w:line="480" w:lineRule="auto"/>
              <w:ind w:left="0" w:leftChars="0" w:firstLine="0" w:firstLineChars="0"/>
              <w:jc w:val="both"/>
              <w:textAlignment w:val="auto"/>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(3)只对方案作出标题式的简单论证，并未展开分析或列明可行的具体解决方案，</w:t>
            </w:r>
          </w:p>
          <w:p w14:paraId="7EA50A05">
            <w:pPr>
              <w:keepNext w:val="0"/>
              <w:keepLines w:val="0"/>
              <w:pageBreakBefore w:val="0"/>
              <w:widowControl/>
              <w:kinsoku/>
              <w:wordWrap/>
              <w:overflowPunct/>
              <w:topLinePunct w:val="0"/>
              <w:bidi w:val="0"/>
              <w:snapToGrid/>
              <w:spacing w:line="480" w:lineRule="auto"/>
              <w:ind w:left="0" w:leftChars="0" w:firstLine="0" w:firstLineChars="0"/>
              <w:jc w:val="both"/>
              <w:textAlignment w:val="auto"/>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(4)对服务的响应进行泛化一般描述，缺少针对性，</w:t>
            </w:r>
          </w:p>
          <w:p w14:paraId="2270C77B">
            <w:pPr>
              <w:keepNext w:val="0"/>
              <w:keepLines w:val="0"/>
              <w:pageBreakBefore w:val="0"/>
              <w:widowControl/>
              <w:kinsoku/>
              <w:wordWrap/>
              <w:overflowPunct/>
              <w:topLinePunct w:val="0"/>
              <w:bidi w:val="0"/>
              <w:snapToGrid/>
              <w:spacing w:line="480" w:lineRule="auto"/>
              <w:ind w:left="0" w:leftChars="0" w:firstLine="0" w:firstLineChars="0"/>
              <w:jc w:val="both"/>
              <w:textAlignment w:val="auto"/>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(5)部分资料、数据等响应方案的支撑衬料提供过于简单。</w:t>
            </w:r>
          </w:p>
          <w:p w14:paraId="1D7474BE">
            <w:pPr>
              <w:keepNext w:val="0"/>
              <w:keepLines w:val="0"/>
              <w:pageBreakBefore w:val="0"/>
              <w:widowControl/>
              <w:kinsoku/>
              <w:wordWrap/>
              <w:overflowPunct/>
              <w:topLinePunct w:val="0"/>
              <w:bidi w:val="0"/>
              <w:snapToGrid/>
              <w:spacing w:line="480" w:lineRule="auto"/>
              <w:ind w:left="0" w:leftChars="0" w:firstLine="0" w:firstLineChars="0"/>
              <w:jc w:val="both"/>
              <w:textAlignment w:val="auto"/>
              <w:outlineLvl w:val="9"/>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3、描述不完整、不合理的：</w:t>
            </w:r>
          </w:p>
          <w:p w14:paraId="09378CE8">
            <w:pPr>
              <w:keepNext w:val="0"/>
              <w:keepLines w:val="0"/>
              <w:pageBreakBefore w:val="0"/>
              <w:widowControl/>
              <w:kinsoku/>
              <w:wordWrap/>
              <w:overflowPunct/>
              <w:topLinePunct w:val="0"/>
              <w:bidi w:val="0"/>
              <w:snapToGrid/>
              <w:spacing w:line="480" w:lineRule="auto"/>
              <w:ind w:left="0" w:leftChars="0" w:firstLine="0" w:firstLineChars="0"/>
              <w:jc w:val="both"/>
              <w:textAlignment w:val="auto"/>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(1)响应方案没有响应采购需求，或有明显重大有缺陷，</w:t>
            </w:r>
          </w:p>
          <w:p w14:paraId="65DEEBD9">
            <w:pPr>
              <w:keepNext w:val="0"/>
              <w:keepLines w:val="0"/>
              <w:pageBreakBefore w:val="0"/>
              <w:widowControl/>
              <w:kinsoku/>
              <w:wordWrap/>
              <w:overflowPunct/>
              <w:topLinePunct w:val="0"/>
              <w:bidi w:val="0"/>
              <w:snapToGrid/>
              <w:spacing w:line="480" w:lineRule="auto"/>
              <w:ind w:left="0" w:leftChars="0" w:firstLine="0" w:firstLineChars="0"/>
              <w:jc w:val="both"/>
              <w:textAlignment w:val="auto"/>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(2)对项目内容分析缺乏层次性，对项目需求的体现不明显，或有明显重大缺陷，</w:t>
            </w:r>
          </w:p>
          <w:p w14:paraId="7F4DD5C4">
            <w:pPr>
              <w:shd w:val="clear" w:color="auto" w:fill="auto"/>
              <w:wordWrap/>
              <w:spacing w:line="480" w:lineRule="auto"/>
              <w:jc w:val="left"/>
              <w:outlineLvl w:val="9"/>
              <w:rPr>
                <w:rFonts w:hint="eastAsia" w:ascii="宋体" w:hAnsi="宋体" w:eastAsia="宋体" w:cs="宋体"/>
                <w:b w:val="0"/>
                <w:bCs/>
                <w:sz w:val="24"/>
                <w:szCs w:val="24"/>
              </w:rPr>
            </w:pPr>
            <w:r>
              <w:rPr>
                <w:rFonts w:hint="eastAsia" w:ascii="宋体" w:hAnsi="宋体" w:eastAsia="宋体" w:cs="宋体"/>
                <w:kern w:val="0"/>
                <w:sz w:val="24"/>
                <w:szCs w:val="24"/>
                <w:highlight w:val="none"/>
              </w:rPr>
              <w:t>(3)响应方案排列、响应情况杂乱，或文不对题。</w:t>
            </w:r>
          </w:p>
        </w:tc>
      </w:tr>
    </w:tbl>
    <w:p w14:paraId="342D9CD2">
      <w:pPr>
        <w:jc w:val="center"/>
        <w:rPr>
          <w:rFonts w:hint="eastAsia" w:ascii="宋体" w:hAnsi="宋体" w:eastAsia="宋体" w:cs="宋体"/>
          <w:b/>
          <w:bCs/>
          <w:color w:val="auto"/>
          <w:kern w:val="2"/>
          <w:sz w:val="24"/>
          <w:szCs w:val="24"/>
          <w:highlight w:val="none"/>
          <w:lang w:val="zh-CN"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7D4917"/>
    <w:rsid w:val="517D49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99"/>
    <w:pPr>
      <w:spacing w:after="120" w:line="240" w:lineRule="auto"/>
      <w:jc w:val="both"/>
    </w:pPr>
    <w:rPr>
      <w:rFonts w:ascii="Times New Roman" w:hAnsi="Times New Roman" w:cs="Times New Roman"/>
      <w:kern w:val="0"/>
      <w:sz w:val="20"/>
      <w:szCs w:val="20"/>
    </w:rPr>
  </w:style>
  <w:style w:type="paragraph" w:styleId="3">
    <w:name w:val="Normal (Web)"/>
    <w:basedOn w:val="1"/>
    <w:qFormat/>
    <w:uiPriority w:val="0"/>
    <w:pPr>
      <w:widowControl/>
      <w:spacing w:before="100" w:beforeAutospacing="1" w:after="100" w:afterAutospacing="1" w:line="240" w:lineRule="auto"/>
    </w:pPr>
    <w:rPr>
      <w:rFonts w:cs="宋体"/>
      <w:kern w:val="0"/>
      <w:szCs w:val="20"/>
    </w:rPr>
  </w:style>
  <w:style w:type="table" w:styleId="5">
    <w:name w:val="Table Grid"/>
    <w:basedOn w:val="4"/>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No Spacing"/>
    <w:qFormat/>
    <w:uiPriority w:val="1"/>
    <w:pPr>
      <w:widowControl w:val="0"/>
    </w:pPr>
    <w:rPr>
      <w:rFonts w:ascii="宋体" w:hAnsi="宋体" w:eastAsia="宋体" w:cs="黑体"/>
      <w:kern w:val="2"/>
      <w:sz w:val="21"/>
      <w:szCs w:val="22"/>
      <w:lang w:val="en-US" w:eastAsia="zh-CN" w:bidi="ar-SA"/>
    </w:rPr>
  </w:style>
  <w:style w:type="paragraph" w:customStyle="1" w:styleId="8">
    <w:name w:val="BodyText"/>
    <w:basedOn w:val="1"/>
    <w:qFormat/>
    <w:uiPriority w:val="0"/>
    <w:pPr>
      <w:spacing w:after="120"/>
    </w:pPr>
  </w:style>
  <w:style w:type="paragraph" w:customStyle="1" w:styleId="9">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21</Pages>
  <Words>0</Words>
  <Characters>0</Characters>
  <Lines>0</Lines>
  <Paragraphs>0</Paragraphs>
  <TotalTime>1</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2026-10-01T13:43:00Z</dcterms:created>
  <dc:creator>何玉鹤</dc:creator>
  <cp:lastModifiedBy>何玉鹤</cp:lastModifiedBy>
  <dcterms:modified xsi:type="dcterms:W3CDTF">2026-10-01T13:46:16Z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E60D69597D3A4066B7955E8CBB4D87A7_11</vt:lpwstr>
  </property>
  <property fmtid="{D5CDD505-2E9C-101B-9397-08002B2CF9AE}" pid="4" name="KSOTemplateDocerSaveRecord">
    <vt:lpwstr>eyJoZGlkIjoiMWZlYjcyOTY2ZTU1ZmZjZGI0Mzg2NTg4YzMyOTVhNzkiLCJ1c2VySWQiOiI1MDU1NzM3MjkifQ==</vt:lpwstr>
  </property>
</Properties>
</file>